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eastAsia="宋体"/>
          <w:sz w:val="30"/>
          <w:szCs w:val="30"/>
        </w:rPr>
      </w:pPr>
      <w:r>
        <w:rPr>
          <w:rFonts w:hint="eastAsia" w:eastAsia="宋体"/>
          <w:sz w:val="30"/>
          <w:szCs w:val="30"/>
        </w:rPr>
        <w:t>细胞克隆培养液KD-Clone使用方法（3.0版）</w:t>
      </w:r>
    </w:p>
    <w:p/>
    <w:p>
      <w:pPr>
        <w:pStyle w:val="2"/>
        <w:numPr>
          <w:ilvl w:val="0"/>
          <w:numId w:val="2"/>
        </w:numPr>
        <w:rPr>
          <w:rFonts w:eastAsia="宋体"/>
        </w:rPr>
      </w:pPr>
      <w:r>
        <w:rPr>
          <w:rFonts w:eastAsia="宋体"/>
        </w:rPr>
        <w:t>产品说明</w:t>
      </w:r>
    </w:p>
    <w:p>
      <w:pPr>
        <w:ind w:firstLine="480" w:firstLineChars="200"/>
        <w:rPr>
          <w:rFonts w:eastAsia="宋体"/>
        </w:rPr>
      </w:pPr>
      <w:r>
        <w:rPr>
          <w:rFonts w:hint="eastAsia" w:eastAsia="宋体"/>
        </w:rPr>
        <w:t>KD-Clone（产品号：K07001）为珠海恺瑞自主研发的化学限定的细胞无血清克隆培养基，适合于 CHO、293及杂交瘤等细胞的单细胞生长，培养液化学成份明确，不含血清及其他动物成份，可在珠海恺瑞生物产品技术服务人员的指导下对多种不同类型的哺乳类动物细胞进行单细胞克隆培养。</w:t>
      </w:r>
    </w:p>
    <w:p>
      <w:pPr>
        <w:ind w:firstLine="480" w:firstLineChars="200"/>
        <w:rPr>
          <w:rFonts w:eastAsia="宋体"/>
        </w:rPr>
      </w:pPr>
      <w:r>
        <w:rPr>
          <w:rFonts w:hint="eastAsia" w:eastAsia="宋体"/>
        </w:rPr>
        <w:t>KD-Clone适用于单个或低密度细胞生长，可使细胞低密度培养时保持细胞活性并增值。根据不同类型细胞克隆需求，可搭配不同添加因子，提高克隆形成率，提高细胞单克隆效率。</w:t>
      </w:r>
    </w:p>
    <w:p>
      <w:pPr>
        <w:rPr>
          <w:b/>
          <w:bCs/>
          <w:szCs w:val="24"/>
        </w:rPr>
      </w:pPr>
      <w:r>
        <w:rPr>
          <w:rFonts w:hint="eastAsia"/>
          <w:b/>
          <w:bCs/>
          <w:szCs w:val="24"/>
        </w:rPr>
        <w:t>细胞培养基使用保存注意事项：</w:t>
      </w:r>
    </w:p>
    <w:p>
      <w:pPr>
        <w:pStyle w:val="15"/>
        <w:widowControl w:val="0"/>
        <w:numPr>
          <w:ilvl w:val="0"/>
          <w:numId w:val="3"/>
        </w:numPr>
        <w:adjustRightInd/>
        <w:snapToGrid/>
        <w:spacing w:line="300" w:lineRule="auto"/>
        <w:ind w:left="420" w:hanging="420"/>
        <w:rPr>
          <w:b/>
          <w:bCs/>
          <w:szCs w:val="24"/>
        </w:rPr>
      </w:pPr>
      <w:r>
        <w:rPr>
          <w:rFonts w:hint="eastAsia"/>
          <w:b/>
          <w:bCs/>
          <w:szCs w:val="24"/>
        </w:rPr>
        <w:t>切勿紫外照射；</w:t>
      </w:r>
    </w:p>
    <w:p>
      <w:pPr>
        <w:pStyle w:val="15"/>
        <w:widowControl w:val="0"/>
        <w:numPr>
          <w:ilvl w:val="0"/>
          <w:numId w:val="3"/>
        </w:numPr>
        <w:adjustRightInd/>
        <w:snapToGrid/>
        <w:spacing w:line="300" w:lineRule="auto"/>
        <w:ind w:left="420" w:hanging="420"/>
        <w:rPr>
          <w:b/>
          <w:bCs/>
          <w:szCs w:val="24"/>
        </w:rPr>
      </w:pPr>
      <w:r>
        <w:rPr>
          <w:rFonts w:hint="eastAsia"/>
          <w:b/>
          <w:bCs/>
          <w:szCs w:val="24"/>
        </w:rPr>
        <w:t>无需预热处理，可直接从冰箱取出使用；</w:t>
      </w:r>
    </w:p>
    <w:p>
      <w:pPr>
        <w:pStyle w:val="15"/>
        <w:widowControl w:val="0"/>
        <w:numPr>
          <w:ilvl w:val="0"/>
          <w:numId w:val="3"/>
        </w:numPr>
        <w:adjustRightInd/>
        <w:snapToGrid/>
        <w:spacing w:line="300" w:lineRule="auto"/>
        <w:ind w:left="420" w:hanging="420"/>
        <w:rPr>
          <w:b/>
          <w:bCs/>
          <w:szCs w:val="24"/>
        </w:rPr>
      </w:pPr>
      <w:r>
        <w:rPr>
          <w:rFonts w:hint="eastAsia"/>
          <w:b/>
          <w:bCs/>
          <w:szCs w:val="24"/>
        </w:rPr>
        <w:t>储存细胞培养基时尽量使用医用冰箱，以确保恒温效果，切勿冷冻；</w:t>
      </w:r>
    </w:p>
    <w:p>
      <w:pPr>
        <w:pStyle w:val="15"/>
        <w:widowControl w:val="0"/>
        <w:numPr>
          <w:ilvl w:val="0"/>
          <w:numId w:val="3"/>
        </w:numPr>
        <w:adjustRightInd/>
        <w:snapToGrid/>
        <w:spacing w:line="300" w:lineRule="auto"/>
        <w:ind w:left="420" w:hanging="420"/>
        <w:rPr>
          <w:b/>
          <w:bCs/>
          <w:szCs w:val="24"/>
        </w:rPr>
      </w:pPr>
      <w:r>
        <w:rPr>
          <w:rFonts w:hint="eastAsia"/>
          <w:b/>
          <w:bCs/>
          <w:szCs w:val="24"/>
        </w:rPr>
        <w:t>定期检查细胞培养基过期日期，并在过期前使用完或更换新的培养基，避免使用过期培养基导致细胞生长异常或失败。</w:t>
      </w:r>
    </w:p>
    <w:p>
      <w:pPr>
        <w:ind w:firstLine="480" w:firstLineChars="200"/>
        <w:rPr>
          <w:rFonts w:eastAsia="宋体" w:cs="Times New Roman"/>
          <w:szCs w:val="24"/>
        </w:rPr>
      </w:pPr>
    </w:p>
    <w:p>
      <w:pPr>
        <w:pStyle w:val="2"/>
        <w:numPr>
          <w:ilvl w:val="0"/>
          <w:numId w:val="2"/>
        </w:numPr>
        <w:rPr>
          <w:rFonts w:eastAsia="宋体"/>
        </w:rPr>
      </w:pPr>
      <w:r>
        <w:rPr>
          <w:rFonts w:hint="eastAsia" w:eastAsia="宋体"/>
        </w:rPr>
        <w:t>试剂及储存条件</w:t>
      </w:r>
    </w:p>
    <w:p>
      <w:pPr>
        <w:pStyle w:val="3"/>
        <w:numPr>
          <w:ilvl w:val="255"/>
          <w:numId w:val="0"/>
        </w:numPr>
      </w:pPr>
      <w:r>
        <w:rPr>
          <w:rFonts w:asciiTheme="majorEastAsia" w:hAnsiTheme="majorEastAsia" w:cstheme="majorEastAsia"/>
          <w:b w:val="0"/>
          <w:bCs w:val="0"/>
        </w:rPr>
        <w:t>2.1</w:t>
      </w:r>
      <w:r>
        <w:rPr>
          <w:rFonts w:hint="eastAsia"/>
          <w:b w:val="0"/>
          <w:bCs w:val="0"/>
        </w:rPr>
        <w:t>珠海恺瑞单细胞克隆系统包含下列试剂：</w:t>
      </w:r>
    </w:p>
    <w:p>
      <w:pPr>
        <w:numPr>
          <w:ilvl w:val="0"/>
          <w:numId w:val="4"/>
        </w:numPr>
        <w:rPr>
          <w:rFonts w:eastAsia="宋体"/>
        </w:rPr>
      </w:pPr>
      <w:r>
        <w:rPr>
          <w:rFonts w:hint="eastAsia" w:eastAsia="宋体"/>
        </w:rPr>
        <w:t>KD-Clone（产品号：K07001）：杂交瘤、CHO及293细胞无血清克隆培养液</w:t>
      </w:r>
    </w:p>
    <w:p>
      <w:pPr>
        <w:numPr>
          <w:ilvl w:val="0"/>
          <w:numId w:val="4"/>
        </w:numPr>
        <w:rPr>
          <w:rFonts w:eastAsia="宋体" w:cs="Times New Roman"/>
        </w:rPr>
      </w:pPr>
      <w:r>
        <w:rPr>
          <w:rFonts w:eastAsia="宋体" w:cs="Times New Roman"/>
        </w:rPr>
        <w:t>ITS</w:t>
      </w:r>
      <w:r>
        <w:rPr>
          <w:rFonts w:hint="eastAsia" w:eastAsia="宋体" w:cs="Times New Roman"/>
        </w:rPr>
        <w:t>p</w:t>
      </w:r>
      <w:r>
        <w:rPr>
          <w:rFonts w:eastAsia="宋体" w:cs="Times New Roman"/>
        </w:rPr>
        <w:t>lus</w:t>
      </w:r>
      <w:r>
        <w:rPr>
          <w:rFonts w:hint="eastAsia" w:eastAsia="宋体" w:cs="Times New Roman"/>
        </w:rPr>
        <w:t>（</w:t>
      </w:r>
      <w:r>
        <w:rPr>
          <w:rFonts w:hint="eastAsia" w:eastAsia="宋体"/>
        </w:rPr>
        <w:t>产品号：</w:t>
      </w:r>
      <w:r>
        <w:rPr>
          <w:rFonts w:eastAsia="宋体"/>
        </w:rPr>
        <w:t>K50001</w:t>
      </w:r>
      <w:r>
        <w:rPr>
          <w:rFonts w:hint="eastAsia" w:eastAsia="宋体" w:cs="Times New Roman"/>
        </w:rPr>
        <w:t>）</w:t>
      </w:r>
      <w:r>
        <w:rPr>
          <w:rFonts w:hint="eastAsia" w:eastAsia="宋体"/>
        </w:rPr>
        <w:t>：人重组蛋白（IGF-1, Transferrin, HSA）以及Selenium等</w:t>
      </w:r>
    </w:p>
    <w:p>
      <w:pPr>
        <w:numPr>
          <w:ilvl w:val="0"/>
          <w:numId w:val="4"/>
        </w:numPr>
        <w:rPr>
          <w:rFonts w:eastAsia="宋体"/>
        </w:rPr>
      </w:pPr>
      <w:r>
        <w:rPr>
          <w:rFonts w:eastAsia="宋体" w:cs="Times New Roman"/>
          <w:bCs/>
        </w:rPr>
        <w:t>KD-HybriGro</w:t>
      </w:r>
      <w:r>
        <w:rPr>
          <w:rFonts w:hint="eastAsia" w:eastAsia="宋体" w:cs="Times New Roman"/>
        </w:rPr>
        <w:t>（</w:t>
      </w:r>
      <w:r>
        <w:rPr>
          <w:rFonts w:hint="eastAsia" w:eastAsia="宋体"/>
        </w:rPr>
        <w:t>产品号：</w:t>
      </w:r>
      <w:r>
        <w:rPr>
          <w:rFonts w:eastAsia="宋体"/>
        </w:rPr>
        <w:t>K50002</w:t>
      </w:r>
      <w:r>
        <w:rPr>
          <w:rFonts w:hint="eastAsia" w:eastAsia="宋体" w:cs="Times New Roman"/>
        </w:rPr>
        <w:t>）</w:t>
      </w:r>
      <w:r>
        <w:rPr>
          <w:rFonts w:hint="eastAsia" w:eastAsia="宋体"/>
        </w:rPr>
        <w:t>：杂交瘤促生长组合因子</w:t>
      </w:r>
    </w:p>
    <w:p>
      <w:pPr>
        <w:pStyle w:val="3"/>
        <w:numPr>
          <w:ilvl w:val="255"/>
          <w:numId w:val="0"/>
        </w:numPr>
      </w:pPr>
      <w:r>
        <w:rPr>
          <w:rFonts w:asciiTheme="majorEastAsia" w:hAnsiTheme="majorEastAsia" w:cstheme="majorEastAsia"/>
          <w:b w:val="0"/>
          <w:bCs w:val="0"/>
        </w:rPr>
        <w:t>2.2</w:t>
      </w:r>
      <w:r>
        <w:rPr>
          <w:rFonts w:hint="eastAsia"/>
          <w:b w:val="0"/>
          <w:bCs w:val="0"/>
        </w:rPr>
        <w:t>试剂储存条件：</w:t>
      </w:r>
    </w:p>
    <w:p>
      <w:pPr>
        <w:numPr>
          <w:ilvl w:val="0"/>
          <w:numId w:val="5"/>
        </w:numPr>
        <w:rPr>
          <w:rFonts w:eastAsia="宋体"/>
        </w:rPr>
      </w:pPr>
      <w:r>
        <w:rPr>
          <w:rFonts w:hint="eastAsia" w:eastAsia="宋体"/>
        </w:rPr>
        <w:t>KD-Clone：2-8</w:t>
      </w:r>
      <w:r>
        <w:rPr>
          <w:rFonts w:eastAsia="宋体" w:cs="MS Mincho"/>
        </w:rPr>
        <w:t>℃</w:t>
      </w:r>
      <w:r>
        <w:rPr>
          <w:rFonts w:hint="eastAsia" w:eastAsia="宋体"/>
        </w:rPr>
        <w:t>避光保存。</w:t>
      </w:r>
    </w:p>
    <w:p>
      <w:pPr>
        <w:numPr>
          <w:ilvl w:val="0"/>
          <w:numId w:val="5"/>
        </w:numPr>
        <w:rPr>
          <w:rFonts w:eastAsia="宋体" w:cs="Times New Roman"/>
        </w:rPr>
      </w:pPr>
      <w:r>
        <w:rPr>
          <w:rFonts w:eastAsia="宋体" w:cs="Times New Roman"/>
        </w:rPr>
        <w:t>ITSPlus</w:t>
      </w:r>
      <w:r>
        <w:rPr>
          <w:rFonts w:hint="eastAsia" w:eastAsia="宋体"/>
        </w:rPr>
        <w:t>：</w:t>
      </w:r>
      <w:r>
        <w:rPr>
          <w:rFonts w:eastAsia="宋体"/>
        </w:rPr>
        <w:t>-</w:t>
      </w:r>
      <w:r>
        <w:rPr>
          <w:rFonts w:hint="eastAsia" w:eastAsia="宋体" w:cs="Times New Roman"/>
        </w:rPr>
        <w:t>20</w:t>
      </w:r>
      <w:r>
        <w:rPr>
          <w:rFonts w:eastAsia="宋体" w:cs="MS Mincho"/>
        </w:rPr>
        <w:t>℃</w:t>
      </w:r>
      <w:r>
        <w:rPr>
          <w:rFonts w:hint="eastAsia" w:eastAsia="宋体"/>
        </w:rPr>
        <w:t>避光保存</w:t>
      </w:r>
    </w:p>
    <w:p>
      <w:pPr>
        <w:numPr>
          <w:ilvl w:val="0"/>
          <w:numId w:val="5"/>
        </w:numPr>
        <w:rPr>
          <w:rFonts w:eastAsia="宋体" w:cs="Times New Roman"/>
        </w:rPr>
      </w:pPr>
      <w:r>
        <w:rPr>
          <w:rFonts w:eastAsia="宋体" w:cs="Times New Roman"/>
          <w:bCs/>
        </w:rPr>
        <w:t>KD-HybriGro</w:t>
      </w:r>
      <w:r>
        <w:rPr>
          <w:rFonts w:hint="eastAsia" w:eastAsia="宋体"/>
        </w:rPr>
        <w:t>：</w:t>
      </w:r>
      <w:r>
        <w:rPr>
          <w:rFonts w:hint="eastAsia" w:eastAsia="宋体" w:cs="Times New Roman"/>
        </w:rPr>
        <w:t>-20</w:t>
      </w:r>
      <w:r>
        <w:rPr>
          <w:rFonts w:eastAsia="宋体" w:cs="MS Mincho"/>
        </w:rPr>
        <w:t>℃</w:t>
      </w:r>
      <w:r>
        <w:rPr>
          <w:rFonts w:hint="eastAsia" w:eastAsia="宋体"/>
        </w:rPr>
        <w:t>避光保存</w:t>
      </w:r>
    </w:p>
    <w:p>
      <w:pPr>
        <w:numPr>
          <w:ilvl w:val="255"/>
          <w:numId w:val="0"/>
        </w:numPr>
        <w:ind w:left="420"/>
        <w:rPr>
          <w:rFonts w:eastAsia="宋体" w:cs="Times New Roman"/>
        </w:rPr>
      </w:pPr>
    </w:p>
    <w:p>
      <w:pPr>
        <w:pStyle w:val="2"/>
        <w:numPr>
          <w:ilvl w:val="0"/>
          <w:numId w:val="2"/>
        </w:numPr>
        <w:rPr>
          <w:rFonts w:eastAsia="宋体"/>
        </w:rPr>
      </w:pPr>
      <w:r>
        <w:rPr>
          <w:rFonts w:hint="eastAsia" w:eastAsia="宋体"/>
        </w:rPr>
        <w:t>使用方法</w:t>
      </w:r>
    </w:p>
    <w:p>
      <w:pPr>
        <w:ind w:firstLine="480"/>
        <w:rPr>
          <w:rFonts w:asciiTheme="minorEastAsia" w:hAnsiTheme="minorEastAsia"/>
        </w:rPr>
      </w:pPr>
      <w:r>
        <w:rPr>
          <w:rFonts w:hint="eastAsia" w:eastAsia="宋体"/>
        </w:rPr>
        <w:t>KD-Clone</w:t>
      </w:r>
      <w:r>
        <w:rPr>
          <w:rFonts w:hint="eastAsia" w:asciiTheme="minorEastAsia" w:hAnsiTheme="minorEastAsia"/>
        </w:rPr>
        <w:t>使用时需根据不同细胞类型添加不同的因子，表1为珠海恺瑞推荐的不同类型细胞在单克隆及细胞扩大时搭配使用的因子，可供参考，客户也可根据相关文献及实验经验选择添加。</w:t>
      </w:r>
    </w:p>
    <w:p>
      <w:pPr>
        <w:ind w:firstLine="480"/>
        <w:jc w:val="center"/>
        <w:rPr>
          <w:rFonts w:asciiTheme="minorEastAsia" w:hAnsiTheme="minorEastAsia"/>
          <w:b/>
        </w:rPr>
      </w:pPr>
      <w:r>
        <w:rPr>
          <w:rFonts w:hint="eastAsia" w:asciiTheme="minorEastAsia" w:hAnsiTheme="minorEastAsia"/>
          <w:b/>
        </w:rPr>
        <w:t>表1不同类型细胞在单克隆及细胞扩大培养体系</w:t>
      </w:r>
    </w:p>
    <w:tbl>
      <w:tblPr>
        <w:tblStyle w:val="10"/>
        <w:tblW w:w="10369" w:type="dxa"/>
        <w:tblInd w:w="96" w:type="dxa"/>
        <w:tblLayout w:type="fixed"/>
        <w:tblCellMar>
          <w:top w:w="0" w:type="dxa"/>
          <w:left w:w="108" w:type="dxa"/>
          <w:bottom w:w="0" w:type="dxa"/>
          <w:right w:w="108" w:type="dxa"/>
        </w:tblCellMar>
      </w:tblPr>
      <w:tblGrid>
        <w:gridCol w:w="2353"/>
        <w:gridCol w:w="1650"/>
        <w:gridCol w:w="1170"/>
        <w:gridCol w:w="3375"/>
        <w:gridCol w:w="1821"/>
      </w:tblGrid>
      <w:tr>
        <w:trPr>
          <w:trHeight w:val="258" w:hRule="atLeast"/>
        </w:trPr>
        <w:tc>
          <w:tcPr>
            <w:tcW w:w="23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细胞类型</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接种细胞密度</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接种体积</w:t>
            </w:r>
          </w:p>
        </w:tc>
        <w:tc>
          <w:tcPr>
            <w:tcW w:w="337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克隆时添加因子完全培养基</w:t>
            </w:r>
          </w:p>
        </w:tc>
        <w:tc>
          <w:tcPr>
            <w:tcW w:w="1821"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扩大时的培养基</w:t>
            </w:r>
          </w:p>
        </w:tc>
      </w:tr>
      <w:tr>
        <w:trPr>
          <w:trHeight w:val="258" w:hRule="atLeast"/>
        </w:trPr>
        <w:tc>
          <w:tcPr>
            <w:tcW w:w="2353"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空</w:t>
            </w:r>
            <w:r>
              <w:rPr>
                <w:rFonts w:eastAsia="宋体" w:cs="Times New Roman"/>
                <w:b/>
                <w:color w:val="000000"/>
                <w:sz w:val="22"/>
              </w:rPr>
              <w:t>CHO</w:t>
            </w:r>
            <w:r>
              <w:rPr>
                <w:rFonts w:hint="eastAsia" w:ascii="宋体" w:hAnsi="宋体" w:eastAsia="宋体" w:cs="宋体"/>
                <w:b/>
                <w:color w:val="000000"/>
                <w:sz w:val="22"/>
              </w:rPr>
              <w:t>细胞</w:t>
            </w:r>
          </w:p>
        </w:tc>
        <w:tc>
          <w:tcPr>
            <w:tcW w:w="1650"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eastAsia="宋体" w:cs="Times New Roman"/>
                <w:b/>
                <w:color w:val="000000"/>
                <w:sz w:val="22"/>
              </w:rPr>
              <w:t>200 cell</w:t>
            </w:r>
            <w:r>
              <w:rPr>
                <w:rFonts w:hint="eastAsia" w:eastAsia="宋体" w:cs="Times New Roman"/>
                <w:b/>
                <w:color w:val="000000"/>
                <w:sz w:val="22"/>
              </w:rPr>
              <w:t>s</w:t>
            </w:r>
            <w:r>
              <w:rPr>
                <w:rFonts w:hint="eastAsia" w:ascii="宋体" w:hAnsi="宋体" w:eastAsia="宋体" w:cs="宋体"/>
                <w:b/>
                <w:color w:val="000000"/>
                <w:sz w:val="22"/>
              </w:rPr>
              <w:t>/板</w:t>
            </w:r>
          </w:p>
        </w:tc>
        <w:tc>
          <w:tcPr>
            <w:tcW w:w="1170"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line="240" w:lineRule="auto"/>
              <w:jc w:val="center"/>
              <w:rPr>
                <w:rFonts w:eastAsia="宋体" w:cs="Times New Roman"/>
                <w:b/>
                <w:color w:val="000000"/>
                <w:sz w:val="22"/>
              </w:rPr>
            </w:pPr>
            <w:r>
              <w:rPr>
                <w:rFonts w:eastAsia="宋体" w:cs="Times New Roman"/>
                <w:b/>
                <w:color w:val="000000"/>
                <w:sz w:val="22"/>
              </w:rPr>
              <w:t>150µl</w:t>
            </w:r>
            <w:r>
              <w:rPr>
                <w:rFonts w:asciiTheme="minorEastAsia" w:hAnsiTheme="minorEastAsia" w:cstheme="minorEastAsia"/>
                <w:b/>
                <w:color w:val="000000"/>
                <w:sz w:val="22"/>
              </w:rPr>
              <w:t>/</w:t>
            </w:r>
            <w:r>
              <w:rPr>
                <w:rFonts w:hint="eastAsia" w:eastAsia="宋体" w:cs="Times New Roman"/>
                <w:b/>
                <w:color w:val="000000"/>
                <w:sz w:val="22"/>
              </w:rPr>
              <w:t>孔</w:t>
            </w:r>
          </w:p>
        </w:tc>
        <w:tc>
          <w:tcPr>
            <w:tcW w:w="3375"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eastAsia="宋体" w:cs="Times New Roman"/>
                <w:b/>
                <w:sz w:val="22"/>
              </w:rPr>
            </w:pPr>
            <w:r>
              <w:rPr>
                <w:rFonts w:eastAsia="宋体" w:cs="Times New Roman"/>
                <w:b/>
                <w:sz w:val="22"/>
              </w:rPr>
              <w:t>KD-</w:t>
            </w:r>
            <w:r>
              <w:rPr>
                <w:rFonts w:hint="eastAsia" w:eastAsia="宋体" w:cs="Times New Roman"/>
                <w:b/>
                <w:sz w:val="22"/>
              </w:rPr>
              <w:t>C</w:t>
            </w:r>
            <w:r>
              <w:rPr>
                <w:rFonts w:eastAsia="宋体" w:cs="Times New Roman"/>
                <w:b/>
                <w:sz w:val="22"/>
              </w:rPr>
              <w:t>lone</w:t>
            </w:r>
          </w:p>
          <w:p>
            <w:pPr>
              <w:adjustRightInd/>
              <w:snapToGrid/>
              <w:spacing w:line="240" w:lineRule="auto"/>
              <w:jc w:val="center"/>
              <w:rPr>
                <w:rFonts w:eastAsia="宋体" w:cs="Times New Roman"/>
                <w:b/>
                <w:sz w:val="22"/>
              </w:rPr>
            </w:pPr>
            <w:r>
              <w:rPr>
                <w:rFonts w:eastAsia="宋体" w:cs="Times New Roman"/>
                <w:b/>
                <w:sz w:val="22"/>
              </w:rPr>
              <w:t>+ITS</w:t>
            </w:r>
            <w:r>
              <w:rPr>
                <w:rFonts w:hint="eastAsia" w:eastAsia="宋体" w:cs="Times New Roman"/>
                <w:b/>
                <w:sz w:val="22"/>
              </w:rPr>
              <w:t>p</w:t>
            </w:r>
            <w:r>
              <w:rPr>
                <w:rFonts w:eastAsia="宋体" w:cs="Times New Roman"/>
                <w:b/>
                <w:sz w:val="22"/>
              </w:rPr>
              <w:t>lus(100</w:t>
            </w:r>
            <w:r>
              <w:rPr>
                <w:rFonts w:hint="eastAsia" w:eastAsia="宋体" w:cs="Times New Roman"/>
                <w:b/>
                <w:sz w:val="22"/>
              </w:rPr>
              <w:t>X）</w:t>
            </w:r>
          </w:p>
        </w:tc>
        <w:tc>
          <w:tcPr>
            <w:tcW w:w="1821"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sz w:val="22"/>
              </w:rPr>
            </w:pPr>
            <w:r>
              <w:rPr>
                <w:rFonts w:eastAsia="宋体" w:cs="Times New Roman"/>
                <w:b/>
                <w:sz w:val="22"/>
              </w:rPr>
              <w:t>KD-CHO</w:t>
            </w:r>
          </w:p>
        </w:tc>
      </w:tr>
      <w:tr>
        <w:trPr>
          <w:trHeight w:val="258" w:hRule="atLeast"/>
        </w:trPr>
        <w:tc>
          <w:tcPr>
            <w:tcW w:w="2353"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空</w:t>
            </w:r>
            <w:r>
              <w:rPr>
                <w:rFonts w:eastAsia="宋体" w:cs="Times New Roman"/>
                <w:b/>
                <w:color w:val="000000"/>
                <w:sz w:val="22"/>
              </w:rPr>
              <w:t>CHO</w:t>
            </w:r>
            <w:r>
              <w:rPr>
                <w:rFonts w:hint="eastAsia" w:ascii="宋体" w:hAnsi="宋体" w:eastAsia="宋体" w:cs="宋体"/>
                <w:b/>
                <w:color w:val="000000"/>
                <w:sz w:val="22"/>
              </w:rPr>
              <w:t>缺陷型细胞</w:t>
            </w:r>
          </w:p>
        </w:tc>
        <w:tc>
          <w:tcPr>
            <w:tcW w:w="1650"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eastAsia="宋体" w:cs="Times New Roman"/>
                <w:b/>
                <w:color w:val="000000"/>
                <w:sz w:val="22"/>
              </w:rPr>
              <w:t>200 cell</w:t>
            </w:r>
            <w:r>
              <w:rPr>
                <w:rFonts w:hint="eastAsia" w:eastAsia="宋体" w:cs="Times New Roman"/>
                <w:b/>
                <w:color w:val="000000"/>
                <w:sz w:val="22"/>
              </w:rPr>
              <w:t>s</w:t>
            </w:r>
            <w:r>
              <w:rPr>
                <w:rFonts w:hint="eastAsia" w:ascii="宋体" w:hAnsi="宋体" w:eastAsia="宋体" w:cs="宋体"/>
                <w:b/>
                <w:color w:val="000000"/>
                <w:sz w:val="22"/>
              </w:rPr>
              <w:t>/板</w:t>
            </w:r>
          </w:p>
        </w:tc>
        <w:tc>
          <w:tcPr>
            <w:tcW w:w="1170" w:type="dxa"/>
            <w:vMerge w:val="continue"/>
            <w:tcBorders>
              <w:top w:val="nil"/>
              <w:left w:val="single" w:color="auto" w:sz="4" w:space="0"/>
              <w:bottom w:val="single" w:color="000000" w:sz="4" w:space="0"/>
              <w:right w:val="single" w:color="auto" w:sz="4" w:space="0"/>
            </w:tcBorders>
            <w:vAlign w:val="center"/>
          </w:tcPr>
          <w:p>
            <w:pPr>
              <w:adjustRightInd/>
              <w:snapToGrid/>
              <w:spacing w:line="240" w:lineRule="auto"/>
              <w:rPr>
                <w:rFonts w:eastAsia="宋体" w:cs="Times New Roman"/>
                <w:b/>
                <w:color w:val="000000"/>
                <w:sz w:val="22"/>
              </w:rPr>
            </w:pPr>
          </w:p>
        </w:tc>
        <w:tc>
          <w:tcPr>
            <w:tcW w:w="3375" w:type="dxa"/>
            <w:vMerge w:val="continue"/>
            <w:tcBorders>
              <w:top w:val="nil"/>
              <w:left w:val="single" w:color="auto" w:sz="4" w:space="0"/>
              <w:bottom w:val="single" w:color="auto" w:sz="4" w:space="0"/>
              <w:right w:val="single" w:color="auto" w:sz="4" w:space="0"/>
            </w:tcBorders>
            <w:vAlign w:val="center"/>
          </w:tcPr>
          <w:p>
            <w:pPr>
              <w:adjustRightInd/>
              <w:snapToGrid/>
              <w:spacing w:line="240" w:lineRule="auto"/>
              <w:rPr>
                <w:rFonts w:eastAsia="宋体" w:cs="Times New Roman"/>
                <w:b/>
                <w:sz w:val="22"/>
              </w:rPr>
            </w:pPr>
          </w:p>
        </w:tc>
        <w:tc>
          <w:tcPr>
            <w:tcW w:w="1821"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eastAsia="宋体" w:cs="Times New Roman"/>
                <w:b/>
                <w:sz w:val="22"/>
              </w:rPr>
            </w:pPr>
            <w:r>
              <w:rPr>
                <w:rFonts w:eastAsia="宋体" w:cs="Times New Roman"/>
                <w:b/>
                <w:sz w:val="22"/>
              </w:rPr>
              <w:t>KDCHO-CD3</w:t>
            </w:r>
          </w:p>
          <w:p>
            <w:pPr>
              <w:adjustRightInd/>
              <w:snapToGrid/>
              <w:spacing w:line="240" w:lineRule="auto"/>
              <w:jc w:val="center"/>
              <w:rPr>
                <w:rFonts w:ascii="宋体" w:hAnsi="宋体" w:eastAsia="宋体" w:cs="宋体"/>
                <w:b/>
                <w:sz w:val="22"/>
              </w:rPr>
            </w:pPr>
            <w:r>
              <w:rPr>
                <w:rFonts w:eastAsia="宋体" w:cs="Times New Roman"/>
                <w:b/>
                <w:sz w:val="22"/>
              </w:rPr>
              <w:t>+8mM</w:t>
            </w:r>
            <w:r>
              <w:rPr>
                <w:rFonts w:hint="eastAsia" w:ascii="宋体" w:hAnsi="宋体" w:eastAsia="宋体" w:cs="宋体"/>
                <w:b/>
                <w:sz w:val="22"/>
              </w:rPr>
              <w:t>力肽</w:t>
            </w:r>
          </w:p>
        </w:tc>
      </w:tr>
      <w:tr>
        <w:trPr>
          <w:trHeight w:val="258" w:hRule="atLeast"/>
        </w:trPr>
        <w:tc>
          <w:tcPr>
            <w:tcW w:w="2353"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稳转</w:t>
            </w:r>
            <w:r>
              <w:rPr>
                <w:rFonts w:eastAsia="宋体" w:cs="Times New Roman"/>
                <w:b/>
                <w:color w:val="000000"/>
                <w:sz w:val="22"/>
              </w:rPr>
              <w:t>CHO</w:t>
            </w:r>
            <w:r>
              <w:rPr>
                <w:rFonts w:hint="eastAsia" w:ascii="宋体" w:hAnsi="宋体" w:eastAsia="宋体" w:cs="宋体"/>
                <w:b/>
                <w:color w:val="000000"/>
                <w:sz w:val="22"/>
              </w:rPr>
              <w:t>细胞</w:t>
            </w:r>
          </w:p>
        </w:tc>
        <w:tc>
          <w:tcPr>
            <w:tcW w:w="1650"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eastAsia="宋体" w:cs="Times New Roman"/>
                <w:b/>
                <w:color w:val="000000"/>
                <w:sz w:val="22"/>
              </w:rPr>
              <w:t>50 cell</w:t>
            </w:r>
            <w:r>
              <w:rPr>
                <w:rFonts w:hint="eastAsia" w:eastAsia="宋体" w:cs="Times New Roman"/>
                <w:b/>
                <w:color w:val="000000"/>
                <w:sz w:val="22"/>
              </w:rPr>
              <w:t>s</w:t>
            </w:r>
            <w:r>
              <w:rPr>
                <w:rFonts w:hint="eastAsia" w:ascii="宋体" w:hAnsi="宋体" w:eastAsia="宋体" w:cs="宋体"/>
                <w:b/>
                <w:color w:val="000000"/>
                <w:sz w:val="22"/>
              </w:rPr>
              <w:t>/板</w:t>
            </w:r>
          </w:p>
        </w:tc>
        <w:tc>
          <w:tcPr>
            <w:tcW w:w="1170"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line="240" w:lineRule="auto"/>
              <w:jc w:val="center"/>
              <w:rPr>
                <w:rFonts w:eastAsia="宋体" w:cs="Times New Roman"/>
                <w:b/>
                <w:color w:val="000000"/>
                <w:sz w:val="22"/>
              </w:rPr>
            </w:pPr>
            <w:r>
              <w:rPr>
                <w:rFonts w:eastAsia="宋体" w:cs="Times New Roman"/>
                <w:b/>
                <w:color w:val="000000"/>
                <w:sz w:val="22"/>
              </w:rPr>
              <w:t>100µl</w:t>
            </w:r>
            <w:r>
              <w:rPr>
                <w:rFonts w:hint="eastAsia" w:asciiTheme="minorEastAsia" w:hAnsiTheme="minorEastAsia" w:cstheme="minorEastAsia"/>
                <w:b/>
                <w:color w:val="000000"/>
                <w:sz w:val="22"/>
              </w:rPr>
              <w:t>/</w:t>
            </w:r>
            <w:r>
              <w:rPr>
                <w:rFonts w:hint="eastAsia" w:eastAsia="宋体" w:cs="Times New Roman"/>
                <w:b/>
                <w:color w:val="000000"/>
                <w:sz w:val="22"/>
              </w:rPr>
              <w:t>孔</w:t>
            </w:r>
          </w:p>
        </w:tc>
        <w:tc>
          <w:tcPr>
            <w:tcW w:w="3375" w:type="dxa"/>
            <w:vMerge w:val="continue"/>
            <w:tcBorders>
              <w:top w:val="nil"/>
              <w:left w:val="single" w:color="auto" w:sz="4" w:space="0"/>
              <w:bottom w:val="single" w:color="auto" w:sz="4" w:space="0"/>
              <w:right w:val="single" w:color="auto" w:sz="4" w:space="0"/>
            </w:tcBorders>
            <w:vAlign w:val="center"/>
          </w:tcPr>
          <w:p>
            <w:pPr>
              <w:adjustRightInd/>
              <w:snapToGrid/>
              <w:spacing w:line="240" w:lineRule="auto"/>
              <w:rPr>
                <w:rFonts w:eastAsia="宋体" w:cs="Times New Roman"/>
                <w:b/>
                <w:sz w:val="22"/>
              </w:rPr>
            </w:pPr>
          </w:p>
        </w:tc>
        <w:tc>
          <w:tcPr>
            <w:tcW w:w="1821"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eastAsia="宋体" w:cs="Times New Roman"/>
                <w:b/>
                <w:sz w:val="22"/>
              </w:rPr>
            </w:pPr>
            <w:r>
              <w:rPr>
                <w:rFonts w:eastAsia="宋体" w:cs="Times New Roman"/>
                <w:b/>
                <w:sz w:val="22"/>
              </w:rPr>
              <w:t>KDCHO-CD3</w:t>
            </w:r>
          </w:p>
        </w:tc>
      </w:tr>
      <w:tr>
        <w:trPr>
          <w:trHeight w:val="258" w:hRule="atLeast"/>
        </w:trPr>
        <w:tc>
          <w:tcPr>
            <w:tcW w:w="2353"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稳转</w:t>
            </w:r>
            <w:r>
              <w:rPr>
                <w:rFonts w:eastAsia="宋体" w:cs="Times New Roman"/>
                <w:b/>
                <w:color w:val="000000"/>
                <w:sz w:val="22"/>
              </w:rPr>
              <w:t>CHO</w:t>
            </w:r>
            <w:r>
              <w:rPr>
                <w:rFonts w:hint="eastAsia" w:ascii="宋体" w:hAnsi="宋体" w:eastAsia="宋体" w:cs="宋体"/>
                <w:b/>
                <w:color w:val="000000"/>
                <w:sz w:val="22"/>
              </w:rPr>
              <w:t xml:space="preserve">缺陷型细胞 </w:t>
            </w:r>
          </w:p>
        </w:tc>
        <w:tc>
          <w:tcPr>
            <w:tcW w:w="1650"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eastAsia="宋体" w:cs="Times New Roman"/>
                <w:b/>
                <w:color w:val="000000"/>
                <w:sz w:val="22"/>
              </w:rPr>
              <w:t>50 cell</w:t>
            </w:r>
            <w:r>
              <w:rPr>
                <w:rFonts w:hint="eastAsia" w:eastAsia="宋体" w:cs="Times New Roman"/>
                <w:b/>
                <w:color w:val="000000"/>
                <w:sz w:val="22"/>
              </w:rPr>
              <w:t>s</w:t>
            </w:r>
            <w:r>
              <w:rPr>
                <w:rFonts w:hint="eastAsia" w:ascii="宋体" w:hAnsi="宋体" w:eastAsia="宋体" w:cs="宋体"/>
                <w:b/>
                <w:color w:val="000000"/>
                <w:sz w:val="22"/>
              </w:rPr>
              <w:t>/板</w:t>
            </w:r>
          </w:p>
        </w:tc>
        <w:tc>
          <w:tcPr>
            <w:tcW w:w="1170" w:type="dxa"/>
            <w:vMerge w:val="continue"/>
            <w:tcBorders>
              <w:top w:val="nil"/>
              <w:left w:val="single" w:color="auto" w:sz="4" w:space="0"/>
              <w:bottom w:val="single" w:color="000000" w:sz="4" w:space="0"/>
              <w:right w:val="single" w:color="auto" w:sz="4" w:space="0"/>
            </w:tcBorders>
            <w:vAlign w:val="center"/>
          </w:tcPr>
          <w:p>
            <w:pPr>
              <w:adjustRightInd/>
              <w:snapToGrid/>
              <w:spacing w:line="240" w:lineRule="auto"/>
              <w:rPr>
                <w:rFonts w:eastAsia="宋体" w:cs="Times New Roman"/>
                <w:b/>
                <w:color w:val="000000"/>
                <w:sz w:val="22"/>
              </w:rPr>
            </w:pPr>
          </w:p>
        </w:tc>
        <w:tc>
          <w:tcPr>
            <w:tcW w:w="3375" w:type="dxa"/>
            <w:vMerge w:val="continue"/>
            <w:tcBorders>
              <w:top w:val="nil"/>
              <w:left w:val="single" w:color="auto" w:sz="4" w:space="0"/>
              <w:bottom w:val="single" w:color="auto" w:sz="4" w:space="0"/>
              <w:right w:val="single" w:color="auto" w:sz="4" w:space="0"/>
            </w:tcBorders>
            <w:vAlign w:val="center"/>
          </w:tcPr>
          <w:p>
            <w:pPr>
              <w:adjustRightInd/>
              <w:snapToGrid/>
              <w:spacing w:line="240" w:lineRule="auto"/>
              <w:rPr>
                <w:rFonts w:eastAsia="宋体" w:cs="Times New Roman"/>
                <w:b/>
                <w:sz w:val="22"/>
              </w:rPr>
            </w:pPr>
          </w:p>
        </w:tc>
        <w:tc>
          <w:tcPr>
            <w:tcW w:w="1821" w:type="dxa"/>
            <w:vMerge w:val="continue"/>
            <w:tcBorders>
              <w:top w:val="nil"/>
              <w:left w:val="single" w:color="auto" w:sz="4" w:space="0"/>
              <w:bottom w:val="single" w:color="auto" w:sz="4" w:space="0"/>
              <w:right w:val="single" w:color="auto" w:sz="4" w:space="0"/>
            </w:tcBorders>
            <w:vAlign w:val="center"/>
          </w:tcPr>
          <w:p>
            <w:pPr>
              <w:adjustRightInd/>
              <w:snapToGrid/>
              <w:spacing w:line="240" w:lineRule="auto"/>
              <w:rPr>
                <w:rFonts w:eastAsia="宋体" w:cs="Times New Roman"/>
                <w:b/>
                <w:sz w:val="22"/>
              </w:rPr>
            </w:pPr>
          </w:p>
        </w:tc>
      </w:tr>
      <w:tr>
        <w:trPr>
          <w:trHeight w:val="258" w:hRule="atLeast"/>
        </w:trPr>
        <w:tc>
          <w:tcPr>
            <w:tcW w:w="2353"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杂交瘤细胞</w:t>
            </w:r>
          </w:p>
        </w:tc>
        <w:tc>
          <w:tcPr>
            <w:tcW w:w="1650"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eastAsia="宋体" w:cs="Times New Roman"/>
                <w:b/>
                <w:color w:val="000000"/>
                <w:sz w:val="22"/>
              </w:rPr>
              <w:t>200 cell</w:t>
            </w:r>
            <w:r>
              <w:rPr>
                <w:rFonts w:hint="eastAsia" w:eastAsia="宋体" w:cs="Times New Roman"/>
                <w:b/>
                <w:color w:val="000000"/>
                <w:sz w:val="22"/>
              </w:rPr>
              <w:t>s</w:t>
            </w:r>
            <w:r>
              <w:rPr>
                <w:rFonts w:hint="eastAsia" w:ascii="宋体" w:hAnsi="宋体" w:eastAsia="宋体" w:cs="宋体"/>
                <w:b/>
                <w:color w:val="000000"/>
                <w:sz w:val="22"/>
              </w:rPr>
              <w:t>/板</w:t>
            </w:r>
          </w:p>
        </w:tc>
        <w:tc>
          <w:tcPr>
            <w:tcW w:w="1170"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line="240" w:lineRule="auto"/>
              <w:jc w:val="center"/>
              <w:rPr>
                <w:rFonts w:eastAsia="宋体" w:cs="Times New Roman"/>
                <w:b/>
                <w:color w:val="000000"/>
                <w:sz w:val="22"/>
              </w:rPr>
            </w:pPr>
            <w:r>
              <w:rPr>
                <w:rFonts w:eastAsia="宋体" w:cs="Times New Roman"/>
                <w:b/>
                <w:color w:val="000000"/>
                <w:sz w:val="22"/>
              </w:rPr>
              <w:t>150µl</w:t>
            </w:r>
            <w:r>
              <w:rPr>
                <w:rFonts w:hint="eastAsia" w:asciiTheme="minorEastAsia" w:hAnsiTheme="minorEastAsia" w:cstheme="minorEastAsia"/>
                <w:b/>
                <w:color w:val="000000"/>
                <w:sz w:val="22"/>
              </w:rPr>
              <w:t>/</w:t>
            </w:r>
            <w:r>
              <w:rPr>
                <w:rFonts w:hint="eastAsia" w:eastAsia="宋体" w:cs="Times New Roman"/>
                <w:b/>
                <w:color w:val="000000"/>
                <w:sz w:val="22"/>
              </w:rPr>
              <w:t>孔</w:t>
            </w:r>
          </w:p>
        </w:tc>
        <w:tc>
          <w:tcPr>
            <w:tcW w:w="3375"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eastAsia="宋体" w:cs="Times New Roman"/>
                <w:b/>
                <w:sz w:val="22"/>
              </w:rPr>
            </w:pPr>
            <w:r>
              <w:rPr>
                <w:rFonts w:eastAsia="宋体" w:cs="Times New Roman"/>
                <w:b/>
                <w:sz w:val="22"/>
              </w:rPr>
              <w:t>KD-</w:t>
            </w:r>
            <w:r>
              <w:rPr>
                <w:rFonts w:hint="eastAsia" w:eastAsia="宋体" w:cs="Times New Roman"/>
                <w:b/>
                <w:sz w:val="22"/>
              </w:rPr>
              <w:t>C</w:t>
            </w:r>
            <w:r>
              <w:rPr>
                <w:rFonts w:eastAsia="宋体" w:cs="Times New Roman"/>
                <w:b/>
                <w:sz w:val="22"/>
              </w:rPr>
              <w:t>lone</w:t>
            </w:r>
          </w:p>
          <w:p>
            <w:pPr>
              <w:adjustRightInd/>
              <w:snapToGrid/>
              <w:spacing w:line="240" w:lineRule="auto"/>
              <w:jc w:val="center"/>
              <w:rPr>
                <w:rFonts w:eastAsia="宋体" w:cs="Times New Roman"/>
                <w:b/>
                <w:sz w:val="22"/>
              </w:rPr>
            </w:pPr>
            <w:r>
              <w:rPr>
                <w:rFonts w:eastAsia="宋体" w:cs="Times New Roman"/>
                <w:b/>
                <w:sz w:val="22"/>
              </w:rPr>
              <w:t>+</w:t>
            </w:r>
            <w:r>
              <w:rPr>
                <w:rFonts w:hint="eastAsia" w:eastAsia="宋体" w:cs="Times New Roman"/>
                <w:b/>
                <w:sz w:val="22"/>
              </w:rPr>
              <w:t>3%-5</w:t>
            </w:r>
            <w:r>
              <w:rPr>
                <w:rFonts w:eastAsia="宋体" w:cs="Times New Roman"/>
                <w:b/>
                <w:sz w:val="22"/>
              </w:rPr>
              <w:t>%FBS</w:t>
            </w:r>
          </w:p>
        </w:tc>
        <w:tc>
          <w:tcPr>
            <w:tcW w:w="1821"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eastAsia="宋体" w:cs="Times New Roman"/>
                <w:b/>
                <w:sz w:val="22"/>
              </w:rPr>
            </w:pPr>
            <w:r>
              <w:rPr>
                <w:rFonts w:eastAsia="宋体" w:cs="Times New Roman"/>
                <w:b/>
                <w:sz w:val="22"/>
              </w:rPr>
              <w:t>KD-Hybri</w:t>
            </w:r>
          </w:p>
          <w:p>
            <w:pPr>
              <w:adjustRightInd/>
              <w:snapToGrid/>
              <w:spacing w:line="240" w:lineRule="auto"/>
              <w:jc w:val="center"/>
              <w:rPr>
                <w:rFonts w:eastAsia="宋体" w:cs="Times New Roman"/>
                <w:b/>
                <w:sz w:val="22"/>
              </w:rPr>
            </w:pPr>
            <w:r>
              <w:rPr>
                <w:rFonts w:eastAsia="宋体" w:cs="Times New Roman"/>
                <w:b/>
                <w:sz w:val="22"/>
              </w:rPr>
              <w:t>+</w:t>
            </w:r>
            <w:r>
              <w:rPr>
                <w:rFonts w:hint="eastAsia" w:eastAsia="宋体" w:cs="Times New Roman"/>
                <w:b/>
                <w:sz w:val="22"/>
              </w:rPr>
              <w:t>3%-</w:t>
            </w:r>
            <w:r>
              <w:rPr>
                <w:rFonts w:eastAsia="宋体" w:cs="Times New Roman"/>
                <w:b/>
                <w:sz w:val="22"/>
              </w:rPr>
              <w:t>5%FBS</w:t>
            </w:r>
          </w:p>
        </w:tc>
      </w:tr>
      <w:tr>
        <w:trPr>
          <w:trHeight w:val="258" w:hRule="atLeast"/>
        </w:trPr>
        <w:tc>
          <w:tcPr>
            <w:tcW w:w="2353" w:type="dxa"/>
            <w:vMerge w:val="continue"/>
            <w:tcBorders>
              <w:top w:val="nil"/>
              <w:left w:val="single" w:color="auto" w:sz="4" w:space="0"/>
              <w:bottom w:val="single" w:color="auto" w:sz="4" w:space="0"/>
              <w:right w:val="single" w:color="auto" w:sz="4" w:space="0"/>
            </w:tcBorders>
            <w:vAlign w:val="center"/>
          </w:tcPr>
          <w:p>
            <w:pPr>
              <w:adjustRightInd/>
              <w:snapToGrid/>
              <w:spacing w:line="240" w:lineRule="auto"/>
              <w:rPr>
                <w:rFonts w:ascii="宋体" w:hAnsi="宋体" w:eastAsia="宋体" w:cs="宋体"/>
                <w:b/>
                <w:color w:val="000000"/>
                <w:sz w:val="22"/>
              </w:rPr>
            </w:pPr>
          </w:p>
        </w:tc>
        <w:tc>
          <w:tcPr>
            <w:tcW w:w="1650" w:type="dxa"/>
            <w:vMerge w:val="continue"/>
            <w:tcBorders>
              <w:top w:val="nil"/>
              <w:left w:val="single" w:color="auto" w:sz="4" w:space="0"/>
              <w:bottom w:val="single" w:color="auto" w:sz="4" w:space="0"/>
              <w:right w:val="single" w:color="auto" w:sz="4" w:space="0"/>
            </w:tcBorders>
            <w:vAlign w:val="center"/>
          </w:tcPr>
          <w:p>
            <w:pPr>
              <w:adjustRightInd/>
              <w:snapToGrid/>
              <w:spacing w:line="240" w:lineRule="auto"/>
              <w:rPr>
                <w:rFonts w:ascii="宋体" w:hAnsi="宋体" w:eastAsia="宋体" w:cs="宋体"/>
                <w:b/>
                <w:color w:val="000000"/>
                <w:sz w:val="22"/>
              </w:rPr>
            </w:pPr>
          </w:p>
        </w:tc>
        <w:tc>
          <w:tcPr>
            <w:tcW w:w="1170" w:type="dxa"/>
            <w:vMerge w:val="continue"/>
            <w:tcBorders>
              <w:top w:val="nil"/>
              <w:left w:val="single" w:color="auto" w:sz="4" w:space="0"/>
              <w:bottom w:val="single" w:color="000000" w:sz="4" w:space="0"/>
              <w:right w:val="single" w:color="auto" w:sz="4" w:space="0"/>
            </w:tcBorders>
            <w:vAlign w:val="center"/>
          </w:tcPr>
          <w:p>
            <w:pPr>
              <w:adjustRightInd/>
              <w:snapToGrid/>
              <w:spacing w:line="240" w:lineRule="auto"/>
              <w:rPr>
                <w:rFonts w:ascii="宋体" w:hAnsi="宋体" w:eastAsia="宋体" w:cs="宋体"/>
                <w:b/>
                <w:color w:val="000000"/>
                <w:sz w:val="22"/>
              </w:rPr>
            </w:pPr>
          </w:p>
        </w:tc>
        <w:tc>
          <w:tcPr>
            <w:tcW w:w="3375"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eastAsia="宋体" w:cs="Times New Roman"/>
                <w:b/>
                <w:sz w:val="22"/>
              </w:rPr>
            </w:pPr>
            <w:r>
              <w:rPr>
                <w:rFonts w:eastAsia="宋体" w:cs="Times New Roman"/>
                <w:b/>
                <w:sz w:val="22"/>
              </w:rPr>
              <w:t>KD-</w:t>
            </w:r>
            <w:r>
              <w:rPr>
                <w:rFonts w:hint="eastAsia" w:eastAsia="宋体" w:cs="Times New Roman"/>
                <w:b/>
                <w:sz w:val="22"/>
              </w:rPr>
              <w:t>C</w:t>
            </w:r>
            <w:r>
              <w:rPr>
                <w:rFonts w:eastAsia="宋体" w:cs="Times New Roman"/>
                <w:b/>
                <w:sz w:val="22"/>
              </w:rPr>
              <w:t>lone</w:t>
            </w:r>
          </w:p>
          <w:p>
            <w:pPr>
              <w:adjustRightInd/>
              <w:snapToGrid/>
              <w:spacing w:line="240" w:lineRule="auto"/>
              <w:jc w:val="center"/>
              <w:rPr>
                <w:rFonts w:eastAsia="宋体" w:cs="Times New Roman"/>
                <w:b/>
                <w:sz w:val="22"/>
              </w:rPr>
            </w:pPr>
            <w:r>
              <w:rPr>
                <w:rFonts w:eastAsia="宋体" w:cs="Times New Roman"/>
                <w:b/>
                <w:sz w:val="22"/>
              </w:rPr>
              <w:t>+KD-HybriGro(100</w:t>
            </w:r>
            <w:r>
              <w:rPr>
                <w:rFonts w:hint="eastAsia" w:eastAsia="宋体" w:cs="Times New Roman"/>
                <w:b/>
                <w:sz w:val="22"/>
              </w:rPr>
              <w:t>X）</w:t>
            </w:r>
            <w:r>
              <w:rPr>
                <w:rFonts w:eastAsia="宋体" w:cs="Times New Roman"/>
                <w:b/>
                <w:sz w:val="22"/>
              </w:rPr>
              <w:t>+1%FBS</w:t>
            </w:r>
          </w:p>
        </w:tc>
        <w:tc>
          <w:tcPr>
            <w:tcW w:w="1821" w:type="dxa"/>
            <w:vMerge w:val="continue"/>
            <w:tcBorders>
              <w:top w:val="nil"/>
              <w:left w:val="single" w:color="auto" w:sz="4" w:space="0"/>
              <w:bottom w:val="single" w:color="auto" w:sz="4" w:space="0"/>
              <w:right w:val="single" w:color="auto" w:sz="4" w:space="0"/>
            </w:tcBorders>
            <w:vAlign w:val="center"/>
          </w:tcPr>
          <w:p>
            <w:pPr>
              <w:adjustRightInd/>
              <w:snapToGrid/>
              <w:spacing w:line="240" w:lineRule="auto"/>
              <w:rPr>
                <w:rFonts w:eastAsia="宋体" w:cs="Times New Roman"/>
                <w:b/>
                <w:sz w:val="22"/>
              </w:rPr>
            </w:pPr>
          </w:p>
        </w:tc>
      </w:tr>
      <w:tr>
        <w:trPr>
          <w:trHeight w:val="258" w:hRule="atLeast"/>
        </w:trPr>
        <w:tc>
          <w:tcPr>
            <w:tcW w:w="2353"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hint="eastAsia" w:ascii="宋体" w:hAnsi="宋体" w:eastAsia="宋体" w:cs="宋体"/>
                <w:b/>
                <w:color w:val="000000"/>
                <w:sz w:val="22"/>
              </w:rPr>
              <w:t>HEK293细胞</w:t>
            </w:r>
          </w:p>
        </w:tc>
        <w:tc>
          <w:tcPr>
            <w:tcW w:w="1650"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eastAsia="宋体" w:cs="宋体"/>
                <w:b/>
                <w:color w:val="000000"/>
                <w:sz w:val="22"/>
              </w:rPr>
            </w:pPr>
            <w:r>
              <w:rPr>
                <w:rFonts w:eastAsia="宋体" w:cs="Times New Roman"/>
                <w:b/>
                <w:color w:val="000000"/>
                <w:sz w:val="22"/>
              </w:rPr>
              <w:t>200 cell</w:t>
            </w:r>
            <w:r>
              <w:rPr>
                <w:rFonts w:hint="eastAsia" w:eastAsia="宋体" w:cs="Times New Roman"/>
                <w:b/>
                <w:color w:val="000000"/>
                <w:sz w:val="22"/>
              </w:rPr>
              <w:t>s</w:t>
            </w:r>
            <w:r>
              <w:rPr>
                <w:rFonts w:hint="eastAsia" w:ascii="宋体" w:hAnsi="宋体" w:eastAsia="宋体" w:cs="宋体"/>
                <w:b/>
                <w:color w:val="000000"/>
                <w:sz w:val="22"/>
              </w:rPr>
              <w:t>/板</w:t>
            </w:r>
          </w:p>
        </w:tc>
        <w:tc>
          <w:tcPr>
            <w:tcW w:w="1170" w:type="dxa"/>
            <w:vMerge w:val="continue"/>
            <w:tcBorders>
              <w:top w:val="nil"/>
              <w:left w:val="single" w:color="auto" w:sz="4" w:space="0"/>
              <w:bottom w:val="single" w:color="000000" w:sz="4" w:space="0"/>
              <w:right w:val="single" w:color="auto" w:sz="4" w:space="0"/>
            </w:tcBorders>
            <w:vAlign w:val="center"/>
          </w:tcPr>
          <w:p>
            <w:pPr>
              <w:adjustRightInd/>
              <w:snapToGrid/>
              <w:spacing w:line="240" w:lineRule="auto"/>
              <w:rPr>
                <w:rFonts w:ascii="宋体" w:hAnsi="宋体" w:eastAsia="宋体" w:cs="宋体"/>
                <w:b/>
                <w:color w:val="000000"/>
                <w:sz w:val="22"/>
              </w:rPr>
            </w:pPr>
          </w:p>
        </w:tc>
        <w:tc>
          <w:tcPr>
            <w:tcW w:w="3375"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eastAsia="宋体" w:cs="Times New Roman"/>
                <w:b/>
                <w:sz w:val="22"/>
              </w:rPr>
            </w:pPr>
            <w:r>
              <w:rPr>
                <w:rFonts w:eastAsia="宋体" w:cs="Times New Roman"/>
                <w:b/>
                <w:sz w:val="22"/>
              </w:rPr>
              <w:t>KD-</w:t>
            </w:r>
            <w:r>
              <w:rPr>
                <w:rFonts w:hint="eastAsia" w:eastAsia="宋体" w:cs="Times New Roman"/>
                <w:b/>
                <w:sz w:val="22"/>
              </w:rPr>
              <w:t>C</w:t>
            </w:r>
            <w:r>
              <w:rPr>
                <w:rFonts w:eastAsia="宋体" w:cs="Times New Roman"/>
                <w:b/>
                <w:sz w:val="22"/>
              </w:rPr>
              <w:t>lone+5%FBS</w:t>
            </w:r>
          </w:p>
        </w:tc>
        <w:tc>
          <w:tcPr>
            <w:tcW w:w="1821"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eastAsia="宋体" w:cs="Times New Roman"/>
                <w:b/>
                <w:sz w:val="22"/>
              </w:rPr>
            </w:pPr>
            <w:r>
              <w:rPr>
                <w:rFonts w:eastAsia="宋体" w:cs="Times New Roman"/>
                <w:b/>
                <w:sz w:val="22"/>
              </w:rPr>
              <w:t>KOP293</w:t>
            </w:r>
          </w:p>
        </w:tc>
      </w:tr>
    </w:tbl>
    <w:p/>
    <w:p>
      <w:pPr>
        <w:pStyle w:val="2"/>
        <w:numPr>
          <w:ilvl w:val="0"/>
          <w:numId w:val="2"/>
        </w:numPr>
        <w:rPr>
          <w:rFonts w:eastAsia="宋体"/>
        </w:rPr>
      </w:pPr>
      <w:r>
        <w:rPr>
          <w:rFonts w:hint="eastAsia" w:eastAsia="宋体"/>
        </w:rPr>
        <w:t>培养</w:t>
      </w:r>
      <w:r>
        <w:rPr>
          <w:rFonts w:eastAsia="宋体"/>
        </w:rPr>
        <w:t>条件</w:t>
      </w:r>
    </w:p>
    <w:p>
      <w:pPr>
        <w:ind w:firstLine="480" w:firstLineChars="200"/>
        <w:rPr>
          <w:rFonts w:eastAsia="宋体"/>
          <w:bCs/>
        </w:rPr>
      </w:pPr>
      <w:r>
        <w:rPr>
          <w:rFonts w:hint="eastAsia" w:eastAsia="宋体"/>
        </w:rPr>
        <w:t>CO</w:t>
      </w:r>
      <w:r>
        <w:rPr>
          <w:rFonts w:hint="eastAsia" w:eastAsia="宋体"/>
          <w:vertAlign w:val="subscript"/>
        </w:rPr>
        <w:t>2</w:t>
      </w:r>
      <w:r>
        <w:rPr>
          <w:rFonts w:hint="eastAsia" w:eastAsia="宋体"/>
        </w:rPr>
        <w:t>静置</w:t>
      </w:r>
      <w:r>
        <w:rPr>
          <w:rFonts w:eastAsia="宋体"/>
        </w:rPr>
        <w:t>培养</w:t>
      </w:r>
      <w:r>
        <w:rPr>
          <w:rFonts w:hint="eastAsia" w:eastAsia="宋体"/>
        </w:rPr>
        <w:t>箱，</w:t>
      </w:r>
      <w:r>
        <w:rPr>
          <w:rFonts w:eastAsia="宋体"/>
        </w:rPr>
        <w:t xml:space="preserve"> 37℃，5%CO</w:t>
      </w:r>
      <w:r>
        <w:rPr>
          <w:rFonts w:eastAsia="宋体"/>
          <w:vertAlign w:val="subscript"/>
        </w:rPr>
        <w:t>2</w:t>
      </w:r>
      <w:r>
        <w:rPr>
          <w:rFonts w:hint="eastAsia" w:eastAsia="宋体"/>
        </w:rPr>
        <w:t>。</w:t>
      </w:r>
    </w:p>
    <w:p>
      <w:pPr>
        <w:pStyle w:val="2"/>
        <w:numPr>
          <w:ilvl w:val="0"/>
          <w:numId w:val="2"/>
        </w:numPr>
        <w:rPr>
          <w:rFonts w:eastAsia="宋体"/>
        </w:rPr>
      </w:pPr>
      <w:r>
        <w:rPr>
          <w:rFonts w:hint="eastAsia" w:eastAsia="宋体"/>
        </w:rPr>
        <w:t>实验步骤</w:t>
      </w:r>
    </w:p>
    <w:p>
      <w:pPr>
        <w:rPr>
          <w:rFonts w:eastAsia="宋体"/>
        </w:rPr>
      </w:pPr>
      <w:r>
        <w:rPr>
          <w:rFonts w:eastAsia="宋体"/>
        </w:rPr>
        <w:t>以克隆</w:t>
      </w:r>
      <w:r>
        <w:rPr>
          <w:rFonts w:hint="eastAsia" w:eastAsia="宋体"/>
        </w:rPr>
        <w:t>3块96孔</w:t>
      </w:r>
      <w:r>
        <w:rPr>
          <w:rFonts w:eastAsia="宋体"/>
        </w:rPr>
        <w:t>板</w:t>
      </w:r>
      <w:r>
        <w:rPr>
          <w:rFonts w:hint="eastAsia" w:eastAsia="宋体"/>
        </w:rPr>
        <w:t>、</w:t>
      </w:r>
      <w:r>
        <w:rPr>
          <w:rFonts w:eastAsia="宋体"/>
        </w:rPr>
        <w:t>每板</w:t>
      </w:r>
      <w:r>
        <w:rPr>
          <w:rFonts w:hint="eastAsia" w:eastAsia="宋体"/>
        </w:rPr>
        <w:t>200</w:t>
      </w:r>
      <w:r>
        <w:rPr>
          <w:rFonts w:eastAsia="宋体"/>
        </w:rPr>
        <w:t>个细胞为例：</w:t>
      </w:r>
    </w:p>
    <w:p>
      <w:pPr>
        <w:pStyle w:val="15"/>
      </w:pPr>
      <w:r>
        <w:t>取无菌摇瓶，加入48</w:t>
      </w:r>
      <w:r>
        <w:rPr>
          <w:rFonts w:hint="eastAsia"/>
        </w:rPr>
        <w:t>ml</w:t>
      </w:r>
      <w:r>
        <w:t>的KD-Clone</w:t>
      </w:r>
      <w:r>
        <w:rPr>
          <w:rFonts w:hint="eastAsia"/>
        </w:rPr>
        <w:t xml:space="preserve"> 培养液并</w:t>
      </w:r>
      <w:r>
        <w:t>向</w:t>
      </w:r>
      <w:r>
        <w:rPr>
          <w:rFonts w:hint="eastAsia"/>
        </w:rPr>
        <w:t>摇瓶</w:t>
      </w:r>
      <w:r>
        <w:t>中加入</w:t>
      </w:r>
      <w:r>
        <w:rPr>
          <w:rFonts w:hint="eastAsia"/>
        </w:rPr>
        <w:t>480</w:t>
      </w:r>
      <w:r>
        <w:rPr>
          <w:rFonts w:cs="Times New Roman"/>
        </w:rPr>
        <w:t>µ</w:t>
      </w:r>
      <w:r>
        <w:t>l 的ITSplus（</w:t>
      </w:r>
      <w:r>
        <w:rPr>
          <w:rFonts w:hint="eastAsia"/>
        </w:rPr>
        <w:t>1：100</w:t>
      </w:r>
      <w:r>
        <w:t>），混匀，再从</w:t>
      </w:r>
      <w:r>
        <w:rPr>
          <w:rFonts w:hint="eastAsia"/>
        </w:rPr>
        <w:t>摇瓶</w:t>
      </w:r>
      <w:r>
        <w:t>中分别取900</w:t>
      </w:r>
      <w:r>
        <w:rPr>
          <w:rFonts w:cs="Times New Roman"/>
        </w:rPr>
        <w:t>µ</w:t>
      </w:r>
      <w:r>
        <w:t>l的培养液加入3个1.5m</w:t>
      </w:r>
      <w:r>
        <w:rPr>
          <w:rFonts w:hint="eastAsia"/>
        </w:rPr>
        <w:t>l</w:t>
      </w:r>
      <w:r>
        <w:t>的离心管中，分别标号为管1、管2、管3</w:t>
      </w:r>
      <w:r>
        <w:rPr>
          <w:rFonts w:hint="eastAsia"/>
        </w:rPr>
        <w:t>；</w:t>
      </w:r>
    </w:p>
    <w:p>
      <w:pPr>
        <w:pStyle w:val="15"/>
      </w:pPr>
      <w:r>
        <w:rPr>
          <w:rFonts w:hint="eastAsia" w:eastAsia="宋体"/>
        </w:rPr>
        <w:t>有限稀释法梯度稀释待克隆细胞：</w:t>
      </w:r>
      <w:r>
        <w:t>取待克隆的细胞100</w:t>
      </w:r>
      <w:r>
        <w:rPr>
          <w:rFonts w:cs="Times New Roman"/>
        </w:rPr>
        <w:t>µ</w:t>
      </w:r>
      <w:r>
        <w:t>l，加入管1中，混匀；</w:t>
      </w:r>
      <w:r>
        <w:rPr>
          <w:rFonts w:hint="eastAsia" w:eastAsia="宋体"/>
        </w:rPr>
        <w:t>按梯度稀释的方法稀释</w:t>
      </w:r>
      <w:r>
        <w:rPr>
          <w:rFonts w:eastAsia="宋体"/>
        </w:rPr>
        <w:t>。</w:t>
      </w:r>
      <w:r>
        <w:t>快速从管3中吸取3滴10</w:t>
      </w:r>
      <w:r>
        <w:rPr>
          <w:rFonts w:cs="Times New Roman"/>
        </w:rPr>
        <w:t>µ</w:t>
      </w:r>
      <w:r>
        <w:t>l细胞混合液于小平皿中，显微镜镜下计数</w:t>
      </w:r>
      <w:r>
        <w:rPr>
          <w:rFonts w:hint="eastAsia"/>
        </w:rPr>
        <w:t xml:space="preserve"> </w:t>
      </w:r>
      <w:r>
        <w:t>，取其平均数（* 个/10</w:t>
      </w:r>
      <w:r>
        <w:rPr>
          <w:rFonts w:cs="Times New Roman"/>
        </w:rPr>
        <w:t>µ</w:t>
      </w:r>
      <w:r>
        <w:t>l）。若细胞量较少（﹤10个），则按照同样的方法吸取管2细胞混合液。计算出共需细胞混合液体积，取相应细胞混合液加入到步骤</w:t>
      </w:r>
      <w:r>
        <w:rPr>
          <w:rFonts w:hint="eastAsia"/>
        </w:rPr>
        <w:t>1）</w:t>
      </w:r>
      <w:r>
        <w:t>中剩余的45ml的KD-Clone</w:t>
      </w:r>
      <w:r>
        <w:rPr>
          <w:rFonts w:hint="eastAsia"/>
        </w:rPr>
        <w:t>培养液</w:t>
      </w:r>
      <w:r>
        <w:t>中，混匀</w:t>
      </w:r>
      <w:r>
        <w:rPr>
          <w:rFonts w:hint="eastAsia"/>
        </w:rPr>
        <w:t>；</w:t>
      </w:r>
    </w:p>
    <w:p>
      <w:pPr>
        <w:pStyle w:val="15"/>
        <w:numPr>
          <w:numId w:val="0"/>
        </w:numPr>
        <w:adjustRightInd w:val="0"/>
        <w:snapToGrid w:val="0"/>
        <w:spacing w:line="360" w:lineRule="auto"/>
        <w:rPr>
          <w:rFonts w:hint="eastAsia"/>
        </w:rPr>
      </w:pPr>
    </w:p>
    <w:p>
      <w:pPr>
        <w:pStyle w:val="15"/>
        <w:numPr>
          <w:numId w:val="0"/>
        </w:numPr>
        <w:adjustRightInd w:val="0"/>
        <w:snapToGrid w:val="0"/>
        <w:spacing w:line="360" w:lineRule="auto"/>
        <w:rPr>
          <w:rFonts w:hint="eastAsia"/>
        </w:rPr>
      </w:pPr>
    </w:p>
    <w:p>
      <w:pPr>
        <w:pStyle w:val="15"/>
        <w:numPr>
          <w:numId w:val="0"/>
        </w:numPr>
        <w:adjustRightInd w:val="0"/>
        <w:snapToGrid w:val="0"/>
        <w:spacing w:line="360" w:lineRule="auto"/>
        <w:rPr>
          <w:rFonts w:hint="eastAsia"/>
        </w:rPr>
      </w:pPr>
      <w:bookmarkStart w:id="0" w:name="_GoBack"/>
      <w:bookmarkEnd w:id="0"/>
    </w:p>
    <w:p>
      <w:pPr>
        <w:ind w:left="420"/>
      </w:pPr>
      <w: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180340</wp:posOffset>
                </wp:positionV>
                <wp:extent cx="6115050" cy="1647825"/>
                <wp:effectExtent l="12700" t="12700" r="19050" b="15875"/>
                <wp:wrapNone/>
                <wp:docPr id="4" name="Text Box 6"/>
                <wp:cNvGraphicFramePr/>
                <a:graphic xmlns:a="http://schemas.openxmlformats.org/drawingml/2006/main">
                  <a:graphicData uri="http://schemas.microsoft.com/office/word/2010/wordprocessingShape">
                    <wps:wsp>
                      <wps:cNvSpPr txBox="1"/>
                      <wps:spPr bwMode="auto">
                        <a:xfrm>
                          <a:off x="0" y="0"/>
                          <a:ext cx="6115050" cy="1648046"/>
                        </a:xfrm>
                        <a:prstGeom prst="rect">
                          <a:avLst/>
                        </a:prstGeom>
                        <a:solidFill>
                          <a:srgbClr val="FFFFFF"/>
                        </a:solidFill>
                        <a:ln w="19050">
                          <a:solidFill>
                            <a:srgbClr val="5A5A5A"/>
                          </a:solidFill>
                          <a:prstDash val="dash"/>
                          <a:miter lim="800000"/>
                        </a:ln>
                        <a:effectLst/>
                      </wps:spPr>
                      <wps:txbx>
                        <w:txbxContent>
                          <w:p>
                            <w:pPr>
                              <w:pStyle w:val="16"/>
                              <w:ind w:left="0"/>
                              <w:rPr>
                                <w:rFonts w:ascii="宋体" w:hAnsi="宋体" w:eastAsia="宋体"/>
                                <w:b/>
                                <w:sz w:val="21"/>
                                <w:szCs w:val="21"/>
                              </w:rPr>
                            </w:pPr>
                            <w:r>
                              <w:rPr>
                                <w:rFonts w:hint="eastAsia" w:ascii="宋体" w:hAnsi="宋体" w:eastAsia="宋体"/>
                                <w:b/>
                                <w:sz w:val="21"/>
                                <w:szCs w:val="21"/>
                              </w:rPr>
                              <w:t>注意事项：</w:t>
                            </w:r>
                          </w:p>
                          <w:p>
                            <w:pPr>
                              <w:pStyle w:val="16"/>
                              <w:spacing w:line="360" w:lineRule="auto"/>
                              <w:ind w:left="90" w:hanging="90" w:hangingChars="50"/>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离心管1、2、3在混合细胞时需要快，显微镜计数时也不要耗时过长。所有材料准备好后再把细胞取出来计数；</w:t>
                            </w:r>
                          </w:p>
                          <w:p>
                            <w:pPr>
                              <w:pStyle w:val="16"/>
                              <w:spacing w:line="360" w:lineRule="auto"/>
                              <w:ind w:left="0"/>
                              <w:rPr>
                                <w:rFonts w:ascii="宋体" w:hAnsi="宋体" w:eastAsia="宋体"/>
                                <w:sz w:val="18"/>
                                <w:szCs w:val="18"/>
                              </w:rPr>
                            </w:pPr>
                            <w:r>
                              <w:rPr>
                                <w:rFonts w:hint="eastAsia" w:ascii="宋体" w:hAnsi="宋体" w:eastAsia="宋体"/>
                                <w:sz w:val="18"/>
                                <w:szCs w:val="18"/>
                              </w:rPr>
                              <w:t>2.管1、2、3依次为10倍关系，当管3细胞量不够时，可按倍数吸取管2中细胞混合液；若管2细胞量不够时，同理可吸取管1或管3中细胞混合液；</w:t>
                            </w:r>
                          </w:p>
                          <w:p>
                            <w:pPr>
                              <w:pStyle w:val="16"/>
                              <w:spacing w:line="360" w:lineRule="auto"/>
                              <w:ind w:left="0"/>
                              <w:rPr>
                                <w:rFonts w:ascii="宋体" w:hAnsi="宋体" w:eastAsia="宋体"/>
                                <w:sz w:val="18"/>
                                <w:szCs w:val="18"/>
                              </w:rPr>
                            </w:pPr>
                            <w:r>
                              <w:rPr>
                                <w:rFonts w:hint="eastAsia" w:ascii="宋体" w:hAnsi="宋体" w:eastAsia="宋体"/>
                                <w:sz w:val="18"/>
                                <w:szCs w:val="18"/>
                              </w:rPr>
                              <w:t>3.在1.5ml离心管混匀细胞液时尽量不要吹打，上下颠倒数次即可；</w:t>
                            </w:r>
                          </w:p>
                          <w:p>
                            <w:pPr>
                              <w:pStyle w:val="16"/>
                              <w:spacing w:line="360" w:lineRule="auto"/>
                              <w:ind w:left="0"/>
                              <w:rPr>
                                <w:rFonts w:ascii="宋体" w:hAnsi="宋体" w:eastAsia="宋体"/>
                                <w:sz w:val="18"/>
                                <w:szCs w:val="18"/>
                              </w:rPr>
                            </w:pPr>
                            <w:r>
                              <w:rPr>
                                <w:rFonts w:hint="eastAsia" w:ascii="宋体" w:hAnsi="宋体" w:eastAsia="宋体"/>
                                <w:sz w:val="18"/>
                                <w:szCs w:val="18"/>
                              </w:rPr>
                              <w:t>4.在进行第一次克隆（多克隆）时克隆稳转的细胞要计数，并离心换液，以除去G418对克隆时的影响；’</w:t>
                            </w:r>
                          </w:p>
                          <w:p>
                            <w:pPr>
                              <w:pStyle w:val="16"/>
                              <w:spacing w:line="360" w:lineRule="auto"/>
                              <w:ind w:left="0"/>
                              <w:rPr>
                                <w:rFonts w:ascii="宋体" w:hAnsi="宋体" w:eastAsia="宋体"/>
                                <w:sz w:val="18"/>
                                <w:szCs w:val="18"/>
                              </w:rPr>
                            </w:pPr>
                            <w:r>
                              <w:rPr>
                                <w:rFonts w:hint="eastAsia" w:ascii="宋体" w:hAnsi="宋体" w:eastAsia="宋体"/>
                                <w:sz w:val="18"/>
                                <w:szCs w:val="18"/>
                              </w:rPr>
                              <w:t>5.在进行第一次克隆（多克隆）时在显微镜下计数时是死活细胞一起数，因此计算所需细胞液体积时要乘以活率。</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0.55pt;margin-top:14.2pt;height:129.75pt;width:481.5pt;z-index:251660288;mso-width-relative:page;mso-height-relative:page;" fillcolor="#FFFFFF" filled="t" stroked="t" coordsize="21600,21600" o:gfxdata="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oYYjHWAAAACAEAAA8AAAAAAAAAAQAgAAAAOAAAAGRy&#10;cy9kb3ducmV2LnhtbFBLAQIUABQAAAAIAIdO4kCaVJP1KgIAAH4EAAAOAAAAAAAAAAEAIAAAADsB&#10;AABkcnMvZTJvRG9jLnhtbFBLBQYAAAAABgAGAFkBAADXBQAAAAA=&#10;">
                <v:fill on="t" focussize="0,0"/>
                <v:stroke weight="1.5pt" color="#5A5A5A" miterlimit="8" joinstyle="miter" dashstyle="dash"/>
                <v:imagedata o:title=""/>
                <o:lock v:ext="edit" aspectratio="f"/>
                <v:textbox>
                  <w:txbxContent>
                    <w:p>
                      <w:pPr>
                        <w:pStyle w:val="16"/>
                        <w:ind w:left="0"/>
                        <w:rPr>
                          <w:rFonts w:ascii="宋体" w:hAnsi="宋体" w:eastAsia="宋体"/>
                          <w:b/>
                          <w:sz w:val="21"/>
                          <w:szCs w:val="21"/>
                        </w:rPr>
                      </w:pPr>
                      <w:r>
                        <w:rPr>
                          <w:rFonts w:hint="eastAsia" w:ascii="宋体" w:hAnsi="宋体" w:eastAsia="宋体"/>
                          <w:b/>
                          <w:sz w:val="21"/>
                          <w:szCs w:val="21"/>
                        </w:rPr>
                        <w:t>注意事项：</w:t>
                      </w:r>
                    </w:p>
                    <w:p>
                      <w:pPr>
                        <w:pStyle w:val="16"/>
                        <w:spacing w:line="360" w:lineRule="auto"/>
                        <w:ind w:left="90" w:hanging="90" w:hangingChars="50"/>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离心管1、2、3在混合细胞时需要快，显微镜计数时也不要耗时过长。所有材料准备好后再把细胞取出来计数；</w:t>
                      </w:r>
                    </w:p>
                    <w:p>
                      <w:pPr>
                        <w:pStyle w:val="16"/>
                        <w:spacing w:line="360" w:lineRule="auto"/>
                        <w:ind w:left="0"/>
                        <w:rPr>
                          <w:rFonts w:ascii="宋体" w:hAnsi="宋体" w:eastAsia="宋体"/>
                          <w:sz w:val="18"/>
                          <w:szCs w:val="18"/>
                        </w:rPr>
                      </w:pPr>
                      <w:r>
                        <w:rPr>
                          <w:rFonts w:hint="eastAsia" w:ascii="宋体" w:hAnsi="宋体" w:eastAsia="宋体"/>
                          <w:sz w:val="18"/>
                          <w:szCs w:val="18"/>
                        </w:rPr>
                        <w:t>2.管1、2、3依次为10倍关系，当管3细胞量不够时，可按倍数吸取管2中细胞混合液；若管2细胞量不够时，同理可吸取管1或管3中细胞混合液；</w:t>
                      </w:r>
                    </w:p>
                    <w:p>
                      <w:pPr>
                        <w:pStyle w:val="16"/>
                        <w:spacing w:line="360" w:lineRule="auto"/>
                        <w:ind w:left="0"/>
                        <w:rPr>
                          <w:rFonts w:ascii="宋体" w:hAnsi="宋体" w:eastAsia="宋体"/>
                          <w:sz w:val="18"/>
                          <w:szCs w:val="18"/>
                        </w:rPr>
                      </w:pPr>
                      <w:r>
                        <w:rPr>
                          <w:rFonts w:hint="eastAsia" w:ascii="宋体" w:hAnsi="宋体" w:eastAsia="宋体"/>
                          <w:sz w:val="18"/>
                          <w:szCs w:val="18"/>
                        </w:rPr>
                        <w:t>3.在1.5ml离心管混匀细胞液时尽量不要吹打，上下颠倒数次即可；</w:t>
                      </w:r>
                    </w:p>
                    <w:p>
                      <w:pPr>
                        <w:pStyle w:val="16"/>
                        <w:spacing w:line="360" w:lineRule="auto"/>
                        <w:ind w:left="0"/>
                        <w:rPr>
                          <w:rFonts w:ascii="宋体" w:hAnsi="宋体" w:eastAsia="宋体"/>
                          <w:sz w:val="18"/>
                          <w:szCs w:val="18"/>
                        </w:rPr>
                      </w:pPr>
                      <w:r>
                        <w:rPr>
                          <w:rFonts w:hint="eastAsia" w:ascii="宋体" w:hAnsi="宋体" w:eastAsia="宋体"/>
                          <w:sz w:val="18"/>
                          <w:szCs w:val="18"/>
                        </w:rPr>
                        <w:t>4.在进行第一次克隆（多克隆）时克隆稳转的细胞要计数，并离心换液，以除去G418对克隆时的影响；’</w:t>
                      </w:r>
                    </w:p>
                    <w:p>
                      <w:pPr>
                        <w:pStyle w:val="16"/>
                        <w:spacing w:line="360" w:lineRule="auto"/>
                        <w:ind w:left="0"/>
                        <w:rPr>
                          <w:rFonts w:ascii="宋体" w:hAnsi="宋体" w:eastAsia="宋体"/>
                          <w:sz w:val="18"/>
                          <w:szCs w:val="18"/>
                        </w:rPr>
                      </w:pPr>
                      <w:r>
                        <w:rPr>
                          <w:rFonts w:hint="eastAsia" w:ascii="宋体" w:hAnsi="宋体" w:eastAsia="宋体"/>
                          <w:sz w:val="18"/>
                          <w:szCs w:val="18"/>
                        </w:rPr>
                        <w:t>5.在进行第一次克隆（多克隆）时在显微镜下计数时是死活细胞一起数，因此计算所需细胞液体积时要乘以活率。</w:t>
                      </w:r>
                    </w:p>
                  </w:txbxContent>
                </v:textbox>
              </v:shape>
            </w:pict>
          </mc:Fallback>
        </mc:AlternateContent>
      </w:r>
    </w:p>
    <w:p>
      <w:pPr>
        <w:ind w:left="420"/>
      </w:pPr>
    </w:p>
    <w:p>
      <w:pPr>
        <w:rPr>
          <w:rFonts w:eastAsia="宋体" w:cs="Times New Roman"/>
          <w:b/>
          <w:szCs w:val="24"/>
        </w:rPr>
      </w:pPr>
    </w:p>
    <w:p>
      <w:pPr>
        <w:rPr>
          <w:rFonts w:eastAsia="宋体" w:cs="Times New Roman"/>
          <w:b/>
          <w:szCs w:val="24"/>
        </w:rPr>
      </w:pPr>
    </w:p>
    <w:p>
      <w:pPr>
        <w:rPr>
          <w:rFonts w:eastAsia="宋体" w:cs="Times New Roman"/>
          <w:b/>
          <w:szCs w:val="24"/>
        </w:rPr>
      </w:pPr>
    </w:p>
    <w:p>
      <w:pPr>
        <w:rPr>
          <w:rFonts w:eastAsia="宋体" w:cs="Times New Roman"/>
          <w:b/>
          <w:szCs w:val="24"/>
        </w:rPr>
      </w:pPr>
    </w:p>
    <w:p>
      <w:pPr>
        <w:rPr>
          <w:rFonts w:eastAsia="宋体" w:cs="Times New Roman"/>
          <w:b/>
          <w:szCs w:val="24"/>
        </w:rPr>
      </w:pPr>
    </w:p>
    <w:p>
      <w:pPr>
        <w:rPr>
          <w:rFonts w:eastAsia="宋体" w:cs="Times New Roman"/>
          <w:b/>
          <w:szCs w:val="24"/>
        </w:rPr>
      </w:pPr>
    </w:p>
    <w:p>
      <w:pPr>
        <w:pStyle w:val="15"/>
      </w:pPr>
      <w:r>
        <w:t>将步</w:t>
      </w:r>
      <w:r>
        <w:rPr>
          <w:rFonts w:hint="eastAsia"/>
        </w:rPr>
        <w:t>骤2）中</w:t>
      </w:r>
      <w:r>
        <w:t>混合好的细胞混合液</w:t>
      </w:r>
      <w:r>
        <w:rPr>
          <w:rFonts w:hint="eastAsia"/>
        </w:rPr>
        <w:t>分多次混匀后</w:t>
      </w:r>
      <w:r>
        <w:t>倒入12道管槽中，用12道排枪吸取150</w:t>
      </w:r>
      <w:r>
        <w:rPr>
          <w:rFonts w:cs="Times New Roman"/>
        </w:rPr>
        <w:t>µ</w:t>
      </w:r>
      <w:r>
        <w:t>l/孔加入到96孔板中，铺三板。置于37</w:t>
      </w:r>
      <w:r>
        <w:rPr>
          <w:rFonts w:hint="eastAsia" w:ascii="宋体" w:hAnsi="宋体" w:cs="宋体"/>
        </w:rPr>
        <w:t>℃</w:t>
      </w:r>
      <w:r>
        <w:t>、5%</w:t>
      </w:r>
      <w:r>
        <w:rPr>
          <w:rFonts w:hint="eastAsia"/>
        </w:rPr>
        <w:t>的</w:t>
      </w:r>
      <w:r>
        <w:t>CO</w:t>
      </w:r>
      <w:r>
        <w:rPr>
          <w:vertAlign w:val="subscript"/>
        </w:rPr>
        <w:t>2</w:t>
      </w:r>
      <w:r>
        <w:t>培养箱中静置培养，保持一周不动</w:t>
      </w:r>
      <w:r>
        <w:rPr>
          <w:rFonts w:hint="eastAsia"/>
        </w:rPr>
        <w:t>；</w:t>
      </w:r>
    </w:p>
    <w:p>
      <w:pPr>
        <w:ind w:left="420"/>
      </w:pPr>
      <w: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paragraph">
                  <wp:posOffset>38100</wp:posOffset>
                </wp:positionV>
                <wp:extent cx="6119495" cy="720725"/>
                <wp:effectExtent l="12700" t="12700" r="15240" b="15875"/>
                <wp:wrapNone/>
                <wp:docPr id="2" name="Text Box 9"/>
                <wp:cNvGraphicFramePr/>
                <a:graphic xmlns:a="http://schemas.openxmlformats.org/drawingml/2006/main">
                  <a:graphicData uri="http://schemas.microsoft.com/office/word/2010/wordprocessingShape">
                    <wps:wsp>
                      <wps:cNvSpPr txBox="1"/>
                      <wps:spPr bwMode="auto">
                        <a:xfrm>
                          <a:off x="0" y="0"/>
                          <a:ext cx="6119436" cy="720946"/>
                        </a:xfrm>
                        <a:prstGeom prst="rect">
                          <a:avLst/>
                        </a:prstGeom>
                        <a:solidFill>
                          <a:srgbClr val="FFFFFF"/>
                        </a:solidFill>
                        <a:ln w="19050">
                          <a:solidFill>
                            <a:srgbClr val="5A5A5A"/>
                          </a:solidFill>
                          <a:prstDash val="dash"/>
                          <a:miter lim="800000"/>
                        </a:ln>
                        <a:effectLst/>
                      </wps:spPr>
                      <wps:txbx>
                        <w:txbxContent>
                          <w:p>
                            <w:pPr>
                              <w:pStyle w:val="16"/>
                              <w:ind w:left="0"/>
                              <w:rPr>
                                <w:rFonts w:ascii="Times New Roman" w:hAnsi="Times New Roman" w:cs="Times New Roman" w:eastAsiaTheme="minorEastAsia"/>
                                <w:b/>
                                <w:bCs/>
                                <w:sz w:val="18"/>
                                <w:szCs w:val="18"/>
                              </w:rPr>
                            </w:pPr>
                            <w:r>
                              <w:rPr>
                                <w:rFonts w:ascii="Times New Roman" w:cs="Times New Roman" w:hAnsiTheme="minorEastAsia" w:eastAsiaTheme="minorEastAsia"/>
                                <w:b/>
                                <w:bCs/>
                                <w:sz w:val="18"/>
                                <w:szCs w:val="18"/>
                              </w:rPr>
                              <w:t>注意事项：</w:t>
                            </w:r>
                          </w:p>
                          <w:p>
                            <w:r>
                              <w:rPr>
                                <w:rFonts w:hint="eastAsia" w:cs="Times New Roman" w:hAnsiTheme="minorEastAsia"/>
                                <w:sz w:val="18"/>
                                <w:szCs w:val="18"/>
                              </w:rPr>
                              <w:t xml:space="preserve">1. </w:t>
                            </w:r>
                            <w:r>
                              <w:rPr>
                                <w:rFonts w:cs="Times New Roman" w:hAnsiTheme="minorEastAsia"/>
                                <w:sz w:val="18"/>
                                <w:szCs w:val="18"/>
                              </w:rPr>
                              <w:t>接种时，</w:t>
                            </w:r>
                            <w:r>
                              <w:rPr>
                                <w:rFonts w:hint="eastAsia" w:cs="Times New Roman" w:hAnsiTheme="minorEastAsia"/>
                                <w:sz w:val="18"/>
                                <w:szCs w:val="18"/>
                              </w:rPr>
                              <w:t>倒</w:t>
                            </w:r>
                            <w:r>
                              <w:rPr>
                                <w:rFonts w:cs="Times New Roman" w:hAnsiTheme="minorEastAsia"/>
                                <w:sz w:val="18"/>
                                <w:szCs w:val="18"/>
                              </w:rPr>
                              <w:t>出的细胞混合液每次大概倒一板的细胞液到</w:t>
                            </w:r>
                            <w:r>
                              <w:rPr>
                                <w:rFonts w:cs="Times New Roman"/>
                                <w:sz w:val="18"/>
                                <w:szCs w:val="18"/>
                              </w:rPr>
                              <w:t>12</w:t>
                            </w:r>
                            <w:r>
                              <w:rPr>
                                <w:rFonts w:cs="Times New Roman" w:hAnsiTheme="minorEastAsia"/>
                                <w:sz w:val="18"/>
                                <w:szCs w:val="18"/>
                              </w:rPr>
                              <w:t>道管槽中，接完一板再倒，接种时尽量不吹打细胞</w:t>
                            </w:r>
                            <w:r>
                              <w:rPr>
                                <w:rFonts w:hint="eastAsia" w:cs="Times New Roman" w:hAnsiTheme="minorEastAsia"/>
                                <w:sz w:val="18"/>
                                <w:szCs w:val="18"/>
                              </w:rPr>
                              <w:t>，以保持细胞的活性</w:t>
                            </w:r>
                            <w:r>
                              <w:rPr>
                                <w:rFonts w:hint="eastAsia"/>
                                <w:sz w:val="18"/>
                                <w:szCs w:val="18"/>
                              </w:rPr>
                              <w:t>。</w:t>
                            </w:r>
                            <w:r>
                              <w:rPr>
                                <w:sz w:val="18"/>
                                <w:szCs w:val="18"/>
                              </w:rPr>
                              <w:t xml:space="preserve"> </w:t>
                            </w:r>
                            <w:r>
                              <w:rPr>
                                <w:rFonts w:ascii="微软雅黑" w:hAnsi="微软雅黑"/>
                                <w:sz w:val="18"/>
                                <w:szCs w:val="18"/>
                              </w:rPr>
                              <w:t xml:space="preserve"> </w:t>
                            </w:r>
                            <w:r>
                              <w:rPr>
                                <w:rFonts w:hint="eastAsia" w:ascii="微软雅黑" w:hAnsi="微软雅黑"/>
                                <w:sz w:val="18"/>
                                <w:szCs w:val="18"/>
                              </w:rPr>
                              <w:t xml:space="preserve">        </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0.7pt;margin-top:3pt;height:56.75pt;width:481.85pt;mso-position-horizontal-relative:margin;z-index:251659264;mso-width-relative:page;mso-height-relative:page;" fillcolor="#FFFFFF" filled="t" stroked="t" coordsize="21600,21600" o:gfxdata="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BJRK11gAAAAcBAAAPAAAAAAAAAAEAIAAAADgA&#10;AABkcnMvZG93bnJldi54bWxQSwECFAAUAAAACACHTuJAYssyPC4CAAB9BAAADgAAAAAAAAABACAA&#10;AAA7AQAAZHJzL2Uyb0RvYy54bWxQSwUGAAAAAAYABgBZAQAA2wUAAAAA&#10;">
                <v:fill on="t" focussize="0,0"/>
                <v:stroke weight="1.5pt" color="#5A5A5A" miterlimit="8" joinstyle="miter" dashstyle="dash"/>
                <v:imagedata o:title=""/>
                <o:lock v:ext="edit" aspectratio="f"/>
                <v:textbox>
                  <w:txbxContent>
                    <w:p>
                      <w:pPr>
                        <w:pStyle w:val="16"/>
                        <w:ind w:left="0"/>
                        <w:rPr>
                          <w:rFonts w:ascii="Times New Roman" w:hAnsi="Times New Roman" w:cs="Times New Roman" w:eastAsiaTheme="minorEastAsia"/>
                          <w:b/>
                          <w:bCs/>
                          <w:sz w:val="18"/>
                          <w:szCs w:val="18"/>
                        </w:rPr>
                      </w:pPr>
                      <w:r>
                        <w:rPr>
                          <w:rFonts w:ascii="Times New Roman" w:cs="Times New Roman" w:hAnsiTheme="minorEastAsia" w:eastAsiaTheme="minorEastAsia"/>
                          <w:b/>
                          <w:bCs/>
                          <w:sz w:val="18"/>
                          <w:szCs w:val="18"/>
                        </w:rPr>
                        <w:t>注意事项：</w:t>
                      </w:r>
                    </w:p>
                    <w:p>
                      <w:r>
                        <w:rPr>
                          <w:rFonts w:hint="eastAsia" w:cs="Times New Roman" w:hAnsiTheme="minorEastAsia"/>
                          <w:sz w:val="18"/>
                          <w:szCs w:val="18"/>
                        </w:rPr>
                        <w:t xml:space="preserve">1. </w:t>
                      </w:r>
                      <w:r>
                        <w:rPr>
                          <w:rFonts w:cs="Times New Roman" w:hAnsiTheme="minorEastAsia"/>
                          <w:sz w:val="18"/>
                          <w:szCs w:val="18"/>
                        </w:rPr>
                        <w:t>接种时，</w:t>
                      </w:r>
                      <w:r>
                        <w:rPr>
                          <w:rFonts w:hint="eastAsia" w:cs="Times New Roman" w:hAnsiTheme="minorEastAsia"/>
                          <w:sz w:val="18"/>
                          <w:szCs w:val="18"/>
                        </w:rPr>
                        <w:t>倒</w:t>
                      </w:r>
                      <w:r>
                        <w:rPr>
                          <w:rFonts w:cs="Times New Roman" w:hAnsiTheme="minorEastAsia"/>
                          <w:sz w:val="18"/>
                          <w:szCs w:val="18"/>
                        </w:rPr>
                        <w:t>出的细胞混合液每次大概倒一板的细胞液到</w:t>
                      </w:r>
                      <w:r>
                        <w:rPr>
                          <w:rFonts w:cs="Times New Roman"/>
                          <w:sz w:val="18"/>
                          <w:szCs w:val="18"/>
                        </w:rPr>
                        <w:t>12</w:t>
                      </w:r>
                      <w:r>
                        <w:rPr>
                          <w:rFonts w:cs="Times New Roman" w:hAnsiTheme="minorEastAsia"/>
                          <w:sz w:val="18"/>
                          <w:szCs w:val="18"/>
                        </w:rPr>
                        <w:t>道管槽中，接完一板再倒，接种时尽量不吹打细胞</w:t>
                      </w:r>
                      <w:r>
                        <w:rPr>
                          <w:rFonts w:hint="eastAsia" w:cs="Times New Roman" w:hAnsiTheme="minorEastAsia"/>
                          <w:sz w:val="18"/>
                          <w:szCs w:val="18"/>
                        </w:rPr>
                        <w:t>，以保持细胞的活性</w:t>
                      </w:r>
                      <w:r>
                        <w:rPr>
                          <w:rFonts w:hint="eastAsia"/>
                          <w:sz w:val="18"/>
                          <w:szCs w:val="18"/>
                        </w:rPr>
                        <w:t>。</w:t>
                      </w:r>
                      <w:r>
                        <w:rPr>
                          <w:sz w:val="18"/>
                          <w:szCs w:val="18"/>
                        </w:rPr>
                        <w:t xml:space="preserve"> </w:t>
                      </w:r>
                      <w:r>
                        <w:rPr>
                          <w:rFonts w:ascii="微软雅黑" w:hAnsi="微软雅黑"/>
                          <w:sz w:val="18"/>
                          <w:szCs w:val="18"/>
                        </w:rPr>
                        <w:t xml:space="preserve"> </w:t>
                      </w:r>
                      <w:r>
                        <w:rPr>
                          <w:rFonts w:hint="eastAsia" w:ascii="微软雅黑" w:hAnsi="微软雅黑"/>
                          <w:sz w:val="18"/>
                          <w:szCs w:val="18"/>
                        </w:rPr>
                        <w:t xml:space="preserve">        </w:t>
                      </w:r>
                    </w:p>
                  </w:txbxContent>
                </v:textbox>
              </v:shape>
            </w:pict>
          </mc:Fallback>
        </mc:AlternateContent>
      </w:r>
    </w:p>
    <w:p>
      <w:pPr>
        <w:ind w:left="420"/>
      </w:pPr>
    </w:p>
    <w:p>
      <w:pPr>
        <w:rPr>
          <w:rFonts w:eastAsia="宋体" w:cs="Times New Roman"/>
          <w:szCs w:val="24"/>
        </w:rPr>
      </w:pPr>
    </w:p>
    <w:p>
      <w:pPr>
        <w:rPr>
          <w:rFonts w:eastAsia="宋体" w:cs="Times New Roman"/>
          <w:szCs w:val="24"/>
        </w:rPr>
      </w:pPr>
    </w:p>
    <w:p>
      <w:pPr>
        <w:pStyle w:val="15"/>
      </w:pPr>
      <w:r>
        <w:t>一周之后观察细胞，圈出长势较佳的孔，</w:t>
      </w:r>
      <w:r>
        <w:rPr>
          <w:rFonts w:hint="eastAsia"/>
        </w:rPr>
        <w:t>继续让细胞生长3-7天后，将单个细胞分裂的孔内的细胞扩大到48或24孔板中培养，并向48或24孔板中添加0.25-0.5ml/孔的对应培养基</w:t>
      </w:r>
      <w:r>
        <w:rPr>
          <w:rFonts w:hint="eastAsia"/>
          <w:b/>
          <w:bCs/>
        </w:rPr>
        <w:t>（如表1）</w:t>
      </w:r>
      <w:r>
        <w:rPr>
          <w:rFonts w:hint="eastAsia"/>
        </w:rPr>
        <w:t>，7-10天后补</w:t>
      </w:r>
      <w:r>
        <w:t>液</w:t>
      </w:r>
      <w:r>
        <w:rPr>
          <w:rFonts w:hint="eastAsia"/>
        </w:rPr>
        <w:t>0.25-0.5ml的对应培养基</w:t>
      </w:r>
      <w:r>
        <w:rPr>
          <w:rFonts w:hint="eastAsia"/>
          <w:b/>
          <w:bCs/>
        </w:rPr>
        <w:t>（如</w:t>
      </w:r>
      <w:r>
        <w:rPr>
          <w:rFonts w:hint="eastAsia"/>
          <w:b/>
        </w:rPr>
        <w:t>表1，注意此后使用的培养基都是与该处相同；需要特别注意杂交瘤细胞驯化方式和稳转细胞需按照细胞池的筛选、添加抗性药物筛选，详情请看珠海恺瑞的杂交瘤单克隆指南和CHO稳转方案）</w:t>
      </w:r>
      <w:r>
        <w:t>，使</w:t>
      </w:r>
      <w:r>
        <w:rPr>
          <w:rFonts w:hint="eastAsia"/>
        </w:rPr>
        <w:t>细胞分裂更多，等细胞汇合率约为60-80%时扩大到6孔板，2ml/孔培养基培养，以此类推将细胞扩大到T25或T75方瓶或摇瓶中培养；</w:t>
      </w:r>
    </w:p>
    <w:p/>
    <w:p>
      <w:pPr>
        <w:pStyle w:val="15"/>
      </w:pPr>
      <w:r>
        <w:rPr>
          <w:rFonts w:hint="eastAsia"/>
        </w:rPr>
        <w:t xml:space="preserve">细胞扩大到摇瓶后，经过2周左右的传代，对各个单克隆细胞株进行生长曲线对比、空细胞的荧光蛋白转染率对比和空细胞各种不同类型的蛋白瞬时转染表达量对比，筛选出合适的单克隆细胞株。  </w:t>
      </w:r>
    </w:p>
    <w:p>
      <w:pPr>
        <w:pStyle w:val="15"/>
        <w:numPr>
          <w:ilvl w:val="0"/>
          <w:numId w:val="0"/>
        </w:numPr>
        <w:ind w:left="420"/>
      </w:pPr>
    </w:p>
    <w:p>
      <w:pPr>
        <w:pStyle w:val="2"/>
        <w:numPr>
          <w:ilvl w:val="0"/>
          <w:numId w:val="2"/>
        </w:numPr>
        <w:rPr>
          <w:rFonts w:eastAsia="宋体"/>
        </w:rPr>
      </w:pPr>
      <w:r>
        <w:rPr>
          <w:rFonts w:hint="eastAsia" w:eastAsia="宋体"/>
        </w:rPr>
        <w:t>常见的问题及应对方法</w:t>
      </w:r>
    </w:p>
    <w:p>
      <w:pPr>
        <w:pStyle w:val="2"/>
        <w:ind w:left="420"/>
        <w:rPr>
          <w:sz w:val="24"/>
          <w:szCs w:val="24"/>
        </w:rPr>
      </w:pPr>
      <w:r>
        <w:rPr>
          <w:sz w:val="24"/>
          <w:szCs w:val="24"/>
        </w:rPr>
        <w:t>a.</w:t>
      </w:r>
      <w:r>
        <w:rPr>
          <w:rFonts w:hint="eastAsia"/>
          <w:sz w:val="24"/>
          <w:szCs w:val="24"/>
        </w:rPr>
        <w:t>克隆率低：</w:t>
      </w:r>
      <w:r>
        <w:rPr>
          <w:rFonts w:hint="eastAsia"/>
          <w:b w:val="0"/>
          <w:sz w:val="24"/>
          <w:szCs w:val="24"/>
        </w:rPr>
        <w:t>其一，可能是由于所克隆的细胞株活性较差，可取对数生长期的细胞株进行克隆，可达到较好的克隆效果。其二，克隆的细胞数少，可适当增加克隆数，提高克隆效率。其三，人为细胞计数产生较大误差，可进行多次计数取平均值，减少误差。</w:t>
      </w:r>
    </w:p>
    <w:p>
      <w:pPr>
        <w:pStyle w:val="2"/>
        <w:ind w:left="420"/>
        <w:rPr>
          <w:b w:val="0"/>
          <w:sz w:val="24"/>
          <w:szCs w:val="24"/>
        </w:rPr>
      </w:pPr>
      <w:r>
        <w:rPr>
          <w:sz w:val="24"/>
          <w:szCs w:val="24"/>
        </w:rPr>
        <w:t>b.</w:t>
      </w:r>
      <w:r>
        <w:rPr>
          <w:rFonts w:hint="eastAsia"/>
          <w:sz w:val="24"/>
          <w:szCs w:val="24"/>
        </w:rPr>
        <w:t>多克隆细胞株多于单克隆细胞株：</w:t>
      </w:r>
      <w:r>
        <w:rPr>
          <w:rFonts w:hint="eastAsia"/>
          <w:b w:val="0"/>
          <w:sz w:val="24"/>
          <w:szCs w:val="24"/>
        </w:rPr>
        <w:t>可能是由于每板的克隆细胞数多、细胞结团或细胞分布不均导致，可适当等细胞不接团时克隆或减少克隆细胞数，并在铺板时经常混匀细胞液。</w:t>
      </w:r>
    </w:p>
    <w:p>
      <w:pPr>
        <w:pStyle w:val="2"/>
        <w:ind w:left="420"/>
        <w:rPr>
          <w:b w:val="0"/>
          <w:sz w:val="24"/>
          <w:szCs w:val="24"/>
        </w:rPr>
      </w:pPr>
      <w:r>
        <w:rPr>
          <w:b w:val="0"/>
          <w:sz w:val="24"/>
          <w:szCs w:val="24"/>
        </w:rPr>
        <w:t>c.</w:t>
      </w:r>
      <w:r>
        <w:rPr>
          <w:rFonts w:hint="eastAsia"/>
          <w:sz w:val="24"/>
          <w:szCs w:val="24"/>
        </w:rPr>
        <w:t>克隆细胞扩大后长不起来：</w:t>
      </w:r>
      <w:r>
        <w:rPr>
          <w:rFonts w:cs="Times New Roman" w:hAnsiTheme="minorEastAsia"/>
          <w:b w:val="0"/>
          <w:sz w:val="24"/>
          <w:szCs w:val="24"/>
        </w:rPr>
        <w:t>这种情况可能是由于克隆细胞团未达到扩大培养的要求，将其提前扩大。克隆细胞需铺满</w:t>
      </w:r>
      <w:r>
        <w:rPr>
          <w:rFonts w:cs="Times New Roman"/>
          <w:b w:val="0"/>
          <w:sz w:val="24"/>
          <w:szCs w:val="24"/>
        </w:rPr>
        <w:t>96</w:t>
      </w:r>
      <w:r>
        <w:rPr>
          <w:rFonts w:cs="Times New Roman" w:hAnsiTheme="minorEastAsia"/>
          <w:b w:val="0"/>
          <w:sz w:val="24"/>
          <w:szCs w:val="24"/>
        </w:rPr>
        <w:t>孔板底部</w:t>
      </w:r>
      <w:r>
        <w:rPr>
          <w:rFonts w:cs="Times New Roman"/>
          <w:b w:val="0"/>
          <w:sz w:val="24"/>
          <w:szCs w:val="24"/>
        </w:rPr>
        <w:t>80%</w:t>
      </w:r>
      <w:r>
        <w:rPr>
          <w:rFonts w:cs="Times New Roman" w:hAnsiTheme="minorEastAsia"/>
          <w:b w:val="0"/>
          <w:sz w:val="24"/>
          <w:szCs w:val="24"/>
        </w:rPr>
        <w:t>以上面积时，方可扩大到</w:t>
      </w:r>
      <w:r>
        <w:rPr>
          <w:rFonts w:cs="Times New Roman"/>
          <w:b w:val="0"/>
          <w:sz w:val="24"/>
          <w:szCs w:val="24"/>
        </w:rPr>
        <w:t>48</w:t>
      </w:r>
      <w:r>
        <w:rPr>
          <w:rFonts w:cs="Times New Roman" w:hAnsiTheme="minorEastAsia"/>
          <w:b w:val="0"/>
          <w:sz w:val="24"/>
          <w:szCs w:val="24"/>
        </w:rPr>
        <w:t>孔板，再逐一扩大到</w:t>
      </w:r>
      <w:r>
        <w:rPr>
          <w:rFonts w:cs="Times New Roman"/>
          <w:b w:val="0"/>
          <w:sz w:val="24"/>
          <w:szCs w:val="24"/>
        </w:rPr>
        <w:t>24</w:t>
      </w:r>
      <w:r>
        <w:rPr>
          <w:rFonts w:cs="Times New Roman" w:hAnsiTheme="minorEastAsia"/>
          <w:b w:val="0"/>
          <w:sz w:val="24"/>
          <w:szCs w:val="24"/>
        </w:rPr>
        <w:t>孔板、</w:t>
      </w:r>
      <w:r>
        <w:rPr>
          <w:rFonts w:cs="Times New Roman"/>
          <w:b w:val="0"/>
          <w:sz w:val="24"/>
          <w:szCs w:val="24"/>
        </w:rPr>
        <w:t>6</w:t>
      </w:r>
      <w:r>
        <w:rPr>
          <w:rFonts w:cs="Times New Roman" w:hAnsiTheme="minorEastAsia"/>
          <w:b w:val="0"/>
          <w:sz w:val="24"/>
          <w:szCs w:val="24"/>
        </w:rPr>
        <w:t>孔板等。</w:t>
      </w:r>
    </w:p>
    <w:p>
      <w:pPr>
        <w:pStyle w:val="2"/>
        <w:ind w:left="420"/>
        <w:rPr>
          <w:rFonts w:asciiTheme="minorEastAsia" w:hAnsiTheme="minorEastAsia"/>
          <w:b w:val="0"/>
          <w:sz w:val="24"/>
          <w:szCs w:val="24"/>
        </w:rPr>
      </w:pPr>
      <w:r>
        <w:rPr>
          <w:sz w:val="24"/>
          <w:szCs w:val="24"/>
        </w:rPr>
        <w:t>d.</w:t>
      </w:r>
      <w:r>
        <w:rPr>
          <w:rFonts w:hint="eastAsia"/>
          <w:sz w:val="24"/>
          <w:szCs w:val="24"/>
        </w:rPr>
        <w:t>克隆细胞分裂终止：</w:t>
      </w:r>
      <w:r>
        <w:rPr>
          <w:rFonts w:hint="eastAsia" w:asciiTheme="minorEastAsia" w:hAnsiTheme="minorEastAsia"/>
          <w:b w:val="0"/>
          <w:sz w:val="24"/>
          <w:szCs w:val="24"/>
        </w:rPr>
        <w:t>铺板培养</w:t>
      </w:r>
      <w:r>
        <w:rPr>
          <w:rFonts w:asciiTheme="minorEastAsia" w:hAnsiTheme="minorEastAsia"/>
          <w:b w:val="0"/>
          <w:sz w:val="24"/>
          <w:szCs w:val="24"/>
        </w:rPr>
        <w:t>1周后挑选克隆时，如遇到克隆分裂终止，单个细胞团细胞为个数，可能是由于铺板前稀释细胞进行吹打或大力混匀细胞导致细胞受损，生长受到抑制，因此在稀释细胞时动作务必轻柔，切记不可用枪头吹打细胞</w:t>
      </w:r>
      <w:r>
        <w:rPr>
          <w:rFonts w:hint="eastAsia" w:asciiTheme="minorEastAsia" w:hAnsiTheme="minorEastAsia"/>
          <w:b w:val="0"/>
          <w:sz w:val="24"/>
          <w:szCs w:val="24"/>
        </w:rPr>
        <w:t xml:space="preserve">。 </w:t>
      </w:r>
    </w:p>
    <w:p/>
    <w:p/>
    <w:p/>
    <w:p/>
    <w:p/>
    <w:p/>
    <w:p/>
    <w:p/>
    <w:p/>
    <w:p/>
    <w:p/>
    <w:p/>
    <w:p/>
    <w:p/>
    <w:p/>
    <w:p/>
    <w:p/>
    <w:p/>
    <w:p/>
    <w:p/>
    <w:p>
      <w:r>
        <w:rPr>
          <w:rFonts w:hint="eastAsia"/>
        </w:rPr>
        <w:t>附录</w:t>
      </w:r>
    </w:p>
    <w:p>
      <w:pPr>
        <w:spacing w:line="324" w:lineRule="auto"/>
        <w:jc w:val="center"/>
        <w:rPr>
          <w:rFonts w:eastAsia="宋体" w:cs="Times New Roman"/>
          <w:szCs w:val="21"/>
        </w:rPr>
      </w:pPr>
      <w:r>
        <w:rPr>
          <w:rFonts w:hint="eastAsia" w:eastAsia="宋体" w:cs="Times New Roman"/>
          <w:szCs w:val="21"/>
        </w:rPr>
        <w:t>附录1</w:t>
      </w:r>
      <w:r>
        <w:rPr>
          <w:rFonts w:eastAsia="宋体" w:cs="Times New Roman"/>
          <w:szCs w:val="21"/>
        </w:rPr>
        <w:t>：试剂说明</w:t>
      </w:r>
    </w:p>
    <w:tbl>
      <w:tblPr>
        <w:tblStyle w:val="11"/>
        <w:tblW w:w="9962" w:type="dxa"/>
        <w:jc w:val="center"/>
        <w:tblBorders>
          <w:top w:val="single" w:color="4874CB" w:themeColor="accent1" w:sz="8" w:space="0"/>
          <w:left w:val="none" w:color="auto" w:sz="0" w:space="0"/>
          <w:bottom w:val="single" w:color="4874CB" w:themeColor="accen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3"/>
        <w:gridCol w:w="7589"/>
      </w:tblGrid>
      <w:tr>
        <w:trPr>
          <w:trHeight w:val="567" w:hRule="atLeast"/>
          <w:jc w:val="center"/>
        </w:trPr>
        <w:tc>
          <w:tcPr>
            <w:tcW w:w="2373" w:type="dxa"/>
            <w:tcBorders>
              <w:top w:val="single" w:color="4874CB" w:themeColor="accent1" w:sz="12" w:space="0"/>
              <w:bottom w:val="single" w:color="4874CB" w:themeColor="accent1" w:sz="12" w:space="0"/>
              <w:right w:val="single" w:color="4874CB" w:themeColor="accent1" w:sz="8" w:space="0"/>
            </w:tcBorders>
            <w:vAlign w:val="center"/>
          </w:tcPr>
          <w:p>
            <w:pPr>
              <w:spacing w:line="324" w:lineRule="auto"/>
              <w:jc w:val="center"/>
              <w:rPr>
                <w:rFonts w:eastAsia="宋体" w:cs="Times New Roman"/>
                <w:b/>
              </w:rPr>
            </w:pPr>
            <w:r>
              <w:rPr>
                <w:rFonts w:eastAsia="宋体" w:cs="Times New Roman"/>
                <w:b/>
              </w:rPr>
              <w:t>产品名称</w:t>
            </w:r>
          </w:p>
        </w:tc>
        <w:tc>
          <w:tcPr>
            <w:tcW w:w="7589" w:type="dxa"/>
            <w:tcBorders>
              <w:top w:val="single" w:color="4874CB" w:themeColor="accent1" w:sz="12" w:space="0"/>
              <w:left w:val="single" w:color="4874CB" w:themeColor="accent1" w:sz="8" w:space="0"/>
              <w:bottom w:val="single" w:color="4874CB" w:themeColor="accent1" w:sz="12" w:space="0"/>
            </w:tcBorders>
            <w:vAlign w:val="center"/>
          </w:tcPr>
          <w:p>
            <w:pPr>
              <w:jc w:val="center"/>
              <w:rPr>
                <w:rFonts w:eastAsia="宋体" w:cs="Times New Roman"/>
                <w:b/>
              </w:rPr>
            </w:pPr>
            <w:r>
              <w:rPr>
                <w:rFonts w:eastAsia="宋体" w:cs="Times New Roman"/>
                <w:b/>
              </w:rPr>
              <w:t>说明</w:t>
            </w:r>
          </w:p>
        </w:tc>
      </w:tr>
      <w:tr>
        <w:trPr>
          <w:trHeight w:val="1182" w:hRule="atLeast"/>
          <w:jc w:val="center"/>
        </w:trPr>
        <w:tc>
          <w:tcPr>
            <w:tcW w:w="2373" w:type="dxa"/>
            <w:tcBorders>
              <w:top w:val="single" w:color="4874CB" w:themeColor="accent1" w:sz="12" w:space="0"/>
              <w:bottom w:val="single" w:color="4874CB" w:themeColor="accent1" w:sz="8" w:space="0"/>
              <w:right w:val="single" w:color="4874CB" w:themeColor="accent1" w:sz="8" w:space="0"/>
            </w:tcBorders>
            <w:vAlign w:val="center"/>
          </w:tcPr>
          <w:p>
            <w:pPr>
              <w:spacing w:line="324" w:lineRule="auto"/>
              <w:jc w:val="center"/>
              <w:rPr>
                <w:rFonts w:eastAsia="宋体" w:cs="Times New Roman"/>
                <w:b/>
              </w:rPr>
            </w:pPr>
            <w:r>
              <w:rPr>
                <w:rFonts w:eastAsia="宋体" w:cs="Times New Roman"/>
              </w:rPr>
              <w:t>KD-Clone</w:t>
            </w:r>
          </w:p>
        </w:tc>
        <w:tc>
          <w:tcPr>
            <w:tcW w:w="7589" w:type="dxa"/>
            <w:tcBorders>
              <w:top w:val="single" w:color="4874CB" w:themeColor="accent1" w:sz="12" w:space="0"/>
              <w:left w:val="single" w:color="4874CB" w:themeColor="accent1" w:sz="8" w:space="0"/>
              <w:bottom w:val="single" w:color="4874CB" w:themeColor="accent1" w:sz="8" w:space="0"/>
            </w:tcBorders>
            <w:vAlign w:val="center"/>
          </w:tcPr>
          <w:p>
            <w:pPr>
              <w:rPr>
                <w:rFonts w:eastAsia="宋体" w:cs="Times New Roman"/>
              </w:rPr>
            </w:pPr>
            <w:r>
              <w:rPr>
                <w:rFonts w:eastAsia="宋体" w:cs="Times New Roman"/>
              </w:rPr>
              <w:t>KD-Clone</w:t>
            </w:r>
            <w:r>
              <w:rPr>
                <w:rFonts w:hint="eastAsia" w:eastAsia="宋体"/>
              </w:rPr>
              <w:t>为化学限定无血清系列基础培养液，分别添加不同组合的生长因子后可用于多种细胞的亚克隆。培养液化学成份明确，不含血清及其它动物成份。</w:t>
            </w:r>
          </w:p>
        </w:tc>
      </w:tr>
      <w:tr>
        <w:trPr>
          <w:trHeight w:val="886" w:hRule="atLeast"/>
          <w:jc w:val="center"/>
        </w:trPr>
        <w:tc>
          <w:tcPr>
            <w:tcW w:w="2373" w:type="dxa"/>
            <w:tcBorders>
              <w:top w:val="single" w:color="4874CB" w:themeColor="accent1" w:sz="8" w:space="0"/>
              <w:bottom w:val="single" w:color="4874CB" w:themeColor="accent1" w:sz="8" w:space="0"/>
              <w:right w:val="single" w:color="4874CB" w:themeColor="accent1" w:sz="8" w:space="0"/>
            </w:tcBorders>
            <w:vAlign w:val="center"/>
          </w:tcPr>
          <w:p>
            <w:pPr>
              <w:spacing w:line="324" w:lineRule="auto"/>
              <w:jc w:val="center"/>
              <w:rPr>
                <w:rFonts w:eastAsia="宋体" w:cs="Times New Roman"/>
                <w:bCs/>
              </w:rPr>
            </w:pPr>
            <w:r>
              <w:rPr>
                <w:rFonts w:eastAsia="宋体" w:cs="Times New Roman"/>
                <w:bCs/>
              </w:rPr>
              <w:t>KD-HybriGro</w:t>
            </w:r>
          </w:p>
        </w:tc>
        <w:tc>
          <w:tcPr>
            <w:tcW w:w="7589" w:type="dxa"/>
            <w:tcBorders>
              <w:top w:val="single" w:color="4874CB" w:themeColor="accent1" w:sz="8" w:space="0"/>
              <w:left w:val="single" w:color="4874CB" w:themeColor="accent1" w:sz="8" w:space="0"/>
              <w:bottom w:val="single" w:color="4874CB" w:themeColor="accent1" w:sz="8" w:space="0"/>
            </w:tcBorders>
            <w:vAlign w:val="center"/>
          </w:tcPr>
          <w:p>
            <w:pPr>
              <w:rPr>
                <w:rFonts w:eastAsia="宋体" w:cs="Times New Roman"/>
              </w:rPr>
            </w:pPr>
            <w:r>
              <w:rPr>
                <w:rFonts w:hint="eastAsia" w:eastAsia="宋体" w:cs="Times New Roman"/>
              </w:rPr>
              <w:t>杂交瘤促生长组合因子，可有效提高杂交瘤克隆细胞单细胞或多细胞的增殖分裂，提高细胞活性，增加克隆率。</w:t>
            </w:r>
          </w:p>
        </w:tc>
      </w:tr>
      <w:tr>
        <w:trPr>
          <w:trHeight w:val="503" w:hRule="atLeast"/>
          <w:jc w:val="center"/>
        </w:trPr>
        <w:tc>
          <w:tcPr>
            <w:tcW w:w="2373" w:type="dxa"/>
            <w:tcBorders>
              <w:top w:val="single" w:color="4874CB" w:themeColor="accent1" w:sz="8" w:space="0"/>
              <w:bottom w:val="single" w:color="4874CB" w:themeColor="accent1" w:sz="8" w:space="0"/>
              <w:right w:val="single" w:color="4874CB" w:themeColor="accent1" w:sz="8" w:space="0"/>
            </w:tcBorders>
            <w:vAlign w:val="center"/>
          </w:tcPr>
          <w:p>
            <w:pPr>
              <w:spacing w:line="324" w:lineRule="auto"/>
              <w:jc w:val="center"/>
              <w:rPr>
                <w:rFonts w:eastAsia="宋体" w:cs="Times New Roman"/>
              </w:rPr>
            </w:pPr>
            <w:r>
              <w:rPr>
                <w:rFonts w:eastAsia="宋体" w:cs="Times New Roman"/>
              </w:rPr>
              <w:t>ITSPlus</w:t>
            </w:r>
          </w:p>
        </w:tc>
        <w:tc>
          <w:tcPr>
            <w:tcW w:w="7589" w:type="dxa"/>
            <w:tcBorders>
              <w:top w:val="single" w:color="4874CB" w:themeColor="accent1" w:sz="8" w:space="0"/>
              <w:left w:val="single" w:color="4874CB" w:themeColor="accent1" w:sz="8" w:space="0"/>
              <w:bottom w:val="single" w:color="4874CB" w:themeColor="accent1" w:sz="8" w:space="0"/>
            </w:tcBorders>
            <w:vAlign w:val="center"/>
          </w:tcPr>
          <w:p>
            <w:pPr>
              <w:rPr>
                <w:rFonts w:eastAsia="宋体" w:cs="Times New Roman"/>
              </w:rPr>
            </w:pPr>
            <w:r>
              <w:rPr>
                <w:rFonts w:hint="eastAsia" w:eastAsia="宋体" w:cs="Times New Roman"/>
              </w:rPr>
              <w:t>基础添加因子，人重组蛋白（</w:t>
            </w:r>
            <w:r>
              <w:rPr>
                <w:rFonts w:eastAsia="宋体" w:cs="Times New Roman"/>
              </w:rPr>
              <w:t>IGF-1,Transferrin,HSA</w:t>
            </w:r>
            <w:r>
              <w:rPr>
                <w:rFonts w:hint="eastAsia" w:eastAsia="宋体" w:cs="Times New Roman"/>
              </w:rPr>
              <w:t>）以及</w:t>
            </w:r>
            <w:r>
              <w:rPr>
                <w:rFonts w:eastAsia="宋体" w:cs="Times New Roman"/>
              </w:rPr>
              <w:t>Selenium</w:t>
            </w:r>
            <w:r>
              <w:rPr>
                <w:rFonts w:hint="eastAsia" w:eastAsia="宋体" w:cs="Times New Roman"/>
              </w:rPr>
              <w:t>等。</w:t>
            </w:r>
          </w:p>
        </w:tc>
      </w:tr>
      <w:tr>
        <w:trPr>
          <w:trHeight w:val="553" w:hRule="atLeast"/>
          <w:jc w:val="center"/>
        </w:trPr>
        <w:tc>
          <w:tcPr>
            <w:tcW w:w="2373" w:type="dxa"/>
            <w:tcBorders>
              <w:top w:val="single" w:color="4874CB" w:themeColor="accent1" w:sz="8" w:space="0"/>
              <w:bottom w:val="single" w:color="4874CB" w:themeColor="accent1" w:sz="8" w:space="0"/>
              <w:right w:val="single" w:color="4874CB" w:themeColor="accent1" w:sz="8" w:space="0"/>
            </w:tcBorders>
            <w:vAlign w:val="center"/>
          </w:tcPr>
          <w:p>
            <w:pPr>
              <w:spacing w:line="324" w:lineRule="auto"/>
              <w:jc w:val="center"/>
              <w:rPr>
                <w:rFonts w:eastAsia="宋体" w:cs="Times New Roman"/>
              </w:rPr>
            </w:pPr>
            <w:r>
              <w:rPr>
                <w:rFonts w:eastAsia="宋体" w:cs="Times New Roman"/>
              </w:rPr>
              <w:t>FBS</w:t>
            </w:r>
          </w:p>
        </w:tc>
        <w:tc>
          <w:tcPr>
            <w:tcW w:w="7589" w:type="dxa"/>
            <w:tcBorders>
              <w:top w:val="single" w:color="4874CB" w:themeColor="accent1" w:sz="8" w:space="0"/>
              <w:left w:val="single" w:color="4874CB" w:themeColor="accent1" w:sz="8" w:space="0"/>
              <w:bottom w:val="single" w:color="4874CB" w:themeColor="accent1" w:sz="8" w:space="0"/>
            </w:tcBorders>
            <w:vAlign w:val="center"/>
          </w:tcPr>
          <w:p>
            <w:pPr>
              <w:rPr>
                <w:rFonts w:eastAsia="宋体" w:cs="Times New Roman"/>
              </w:rPr>
            </w:pPr>
            <w:r>
              <w:rPr>
                <w:rFonts w:hint="eastAsia" w:eastAsia="宋体" w:cs="Times New Roman"/>
              </w:rPr>
              <w:t>胎牛血清（杂交瘤培养质量认证批次）。</w:t>
            </w:r>
          </w:p>
        </w:tc>
      </w:tr>
      <w:tr>
        <w:trPr>
          <w:trHeight w:val="713" w:hRule="atLeast"/>
          <w:jc w:val="center"/>
        </w:trPr>
        <w:tc>
          <w:tcPr>
            <w:tcW w:w="2373" w:type="dxa"/>
            <w:tcBorders>
              <w:top w:val="single" w:color="4874CB" w:themeColor="accent1" w:sz="8" w:space="0"/>
              <w:bottom w:val="single" w:color="4874CB" w:themeColor="accent1" w:sz="8" w:space="0"/>
              <w:right w:val="single" w:color="4874CB" w:themeColor="accent1" w:sz="8" w:space="0"/>
            </w:tcBorders>
          </w:tcPr>
          <w:p>
            <w:pPr>
              <w:jc w:val="center"/>
              <w:rPr>
                <w:rFonts w:cs="Times New Roman"/>
                <w:bCs/>
                <w:szCs w:val="24"/>
              </w:rPr>
            </w:pPr>
            <w:r>
              <w:rPr>
                <w:rFonts w:hint="eastAsia" w:cs="Times New Roman"/>
                <w:bCs/>
                <w:szCs w:val="24"/>
              </w:rPr>
              <w:t>KDCHO-CD3</w:t>
            </w:r>
          </w:p>
        </w:tc>
        <w:tc>
          <w:tcPr>
            <w:tcW w:w="7589" w:type="dxa"/>
            <w:tcBorders>
              <w:top w:val="single" w:color="4874CB" w:themeColor="accent1" w:sz="8" w:space="0"/>
              <w:left w:val="single" w:color="4874CB" w:themeColor="accent1" w:sz="8" w:space="0"/>
              <w:bottom w:val="single" w:color="4874CB" w:themeColor="accent1" w:sz="8" w:space="0"/>
            </w:tcBorders>
            <w:vAlign w:val="center"/>
          </w:tcPr>
          <w:p>
            <w:pPr>
              <w:rPr>
                <w:rFonts w:cs="Times New Roman"/>
                <w:szCs w:val="24"/>
              </w:rPr>
            </w:pPr>
            <w:r>
              <w:rPr>
                <w:rFonts w:cs="Times New Roman"/>
                <w:szCs w:val="24"/>
              </w:rPr>
              <w:t>KDCHO-CD3是由珠海恺瑞生物</w:t>
            </w:r>
            <w:r>
              <w:rPr>
                <w:rFonts w:hint="eastAsia" w:cs="Times New Roman"/>
                <w:szCs w:val="24"/>
              </w:rPr>
              <w:t>科技</w:t>
            </w:r>
            <w:r>
              <w:rPr>
                <w:rFonts w:cs="Times New Roman"/>
                <w:szCs w:val="24"/>
              </w:rPr>
              <w:t>有限公司自主研发生产的</w:t>
            </w:r>
            <w:r>
              <w:rPr>
                <w:rFonts w:hint="eastAsia" w:cs="Times New Roman"/>
                <w:szCs w:val="24"/>
              </w:rPr>
              <w:t>化学限定</w:t>
            </w:r>
            <w:r>
              <w:rPr>
                <w:rFonts w:cs="Times New Roman"/>
                <w:szCs w:val="24"/>
              </w:rPr>
              <w:t>高密度无血清培养液。</w:t>
            </w:r>
            <w:r>
              <w:rPr>
                <w:rFonts w:hint="eastAsia" w:cs="Times New Roman"/>
                <w:szCs w:val="24"/>
              </w:rPr>
              <w:t>KDCHO-CD3不含谷氨酰胺及HT，可用于野生型及GS或</w:t>
            </w:r>
            <w:r>
              <w:rPr>
                <w:rFonts w:cs="Times New Roman"/>
                <w:szCs w:val="24"/>
              </w:rPr>
              <w:t>dhfr</w:t>
            </w:r>
            <w:r>
              <w:rPr>
                <w:rFonts w:hint="eastAsia" w:cs="Times New Roman"/>
                <w:szCs w:val="24"/>
              </w:rPr>
              <w:t>基因缺陷型CHO宿主细胞以及使用这些细胞所建立的稳定表达细胞株，与珠海恺瑞所生产的CD3Feed</w:t>
            </w:r>
            <w:r>
              <w:rPr>
                <w:rFonts w:cs="Times New Roman"/>
                <w:szCs w:val="24"/>
              </w:rPr>
              <w:t>-</w:t>
            </w:r>
            <w:r>
              <w:rPr>
                <w:rFonts w:hint="eastAsia" w:cs="Times New Roman"/>
                <w:szCs w:val="24"/>
              </w:rPr>
              <w:t>K与CD3Feed</w:t>
            </w:r>
            <w:r>
              <w:rPr>
                <w:rFonts w:cs="Times New Roman"/>
                <w:szCs w:val="24"/>
              </w:rPr>
              <w:t>-</w:t>
            </w:r>
            <w:r>
              <w:rPr>
                <w:rFonts w:hint="eastAsia" w:cs="Times New Roman"/>
                <w:szCs w:val="24"/>
              </w:rPr>
              <w:t>C 的CHO细胞培养基补料配合使用，可进一步提高重组蛋白表达效率，用于重组蛋白生产工艺开发。</w:t>
            </w:r>
          </w:p>
        </w:tc>
      </w:tr>
      <w:tr>
        <w:trPr>
          <w:trHeight w:val="713" w:hRule="atLeast"/>
          <w:jc w:val="center"/>
        </w:trPr>
        <w:tc>
          <w:tcPr>
            <w:tcW w:w="2373" w:type="dxa"/>
            <w:tcBorders>
              <w:top w:val="single" w:color="4874CB" w:themeColor="accent1" w:sz="8" w:space="0"/>
              <w:bottom w:val="single" w:color="4874CB" w:themeColor="accent1" w:sz="8" w:space="0"/>
              <w:right w:val="single" w:color="4874CB" w:themeColor="accent1" w:sz="8" w:space="0"/>
            </w:tcBorders>
            <w:vAlign w:val="center"/>
          </w:tcPr>
          <w:p>
            <w:pPr>
              <w:spacing w:line="324" w:lineRule="auto"/>
              <w:jc w:val="center"/>
              <w:rPr>
                <w:rFonts w:cs="Times New Roman"/>
                <w:bCs/>
                <w:szCs w:val="24"/>
              </w:rPr>
            </w:pPr>
            <w:r>
              <w:rPr>
                <w:rFonts w:hint="eastAsia" w:cs="Times New Roman"/>
                <w:bCs/>
                <w:szCs w:val="24"/>
              </w:rPr>
              <w:t>力肽</w:t>
            </w:r>
          </w:p>
        </w:tc>
        <w:tc>
          <w:tcPr>
            <w:tcW w:w="7589" w:type="dxa"/>
            <w:tcBorders>
              <w:top w:val="single" w:color="4874CB" w:themeColor="accent1" w:sz="8" w:space="0"/>
              <w:left w:val="single" w:color="4874CB" w:themeColor="accent1" w:sz="8" w:space="0"/>
              <w:bottom w:val="single" w:color="4874CB" w:themeColor="accent1" w:sz="8" w:space="0"/>
            </w:tcBorders>
            <w:vAlign w:val="center"/>
          </w:tcPr>
          <w:p>
            <w:pPr>
              <w:rPr>
                <w:rFonts w:ascii="微软雅黑" w:hAnsi="微软雅黑" w:cs="Times New Roman"/>
                <w:szCs w:val="24"/>
              </w:rPr>
            </w:pPr>
            <w:r>
              <w:rPr>
                <w:rFonts w:hint="eastAsia" w:cs="Times New Roman"/>
                <w:szCs w:val="24"/>
              </w:rPr>
              <w:t>力肽</w:t>
            </w:r>
            <w:r>
              <w:rPr>
                <w:rFonts w:cs="Times New Roman"/>
                <w:szCs w:val="24"/>
              </w:rPr>
              <w:t xml:space="preserve"> (L-丙氨酰-L-谷胺酰胺) L-Alanyl-L-Glutamine 为白色粉末结晶。</w:t>
            </w:r>
            <w:r>
              <w:rPr>
                <w:rFonts w:hint="eastAsia" w:cs="Times New Roman"/>
                <w:szCs w:val="24"/>
              </w:rPr>
              <w:t>力肽</w:t>
            </w:r>
            <w:r>
              <w:rPr>
                <w:rFonts w:cs="Times New Roman"/>
                <w:szCs w:val="24"/>
              </w:rPr>
              <w:t>配置的溶液</w:t>
            </w:r>
            <w:r>
              <w:rPr>
                <w:rFonts w:hint="eastAsia" w:cs="Times New Roman"/>
                <w:szCs w:val="24"/>
              </w:rPr>
              <w:t>是</w:t>
            </w:r>
            <w:r>
              <w:rPr>
                <w:rFonts w:cs="Times New Roman"/>
                <w:szCs w:val="24"/>
              </w:rPr>
              <w:t>细胞谷氨酰胺的中间物质，为细胞提供额外的谷氨酰胺，</w:t>
            </w:r>
            <w:r>
              <w:rPr>
                <w:rFonts w:hint="eastAsia" w:cs="Times New Roman"/>
                <w:szCs w:val="24"/>
              </w:rPr>
              <w:t>促进细胞</w:t>
            </w:r>
            <w:r>
              <w:rPr>
                <w:rFonts w:cs="Times New Roman"/>
                <w:szCs w:val="24"/>
              </w:rPr>
              <w:t>生长。</w:t>
            </w:r>
          </w:p>
        </w:tc>
      </w:tr>
      <w:tr>
        <w:trPr>
          <w:trHeight w:val="713" w:hRule="atLeast"/>
          <w:jc w:val="center"/>
        </w:trPr>
        <w:tc>
          <w:tcPr>
            <w:tcW w:w="2373" w:type="dxa"/>
            <w:tcBorders>
              <w:top w:val="single" w:color="4874CB" w:themeColor="accent1" w:sz="8" w:space="0"/>
              <w:bottom w:val="single" w:color="4874CB" w:themeColor="accent1" w:sz="8" w:space="0"/>
              <w:right w:val="single" w:color="4874CB" w:themeColor="accent1" w:sz="8" w:space="0"/>
            </w:tcBorders>
            <w:vAlign w:val="center"/>
          </w:tcPr>
          <w:p>
            <w:pPr>
              <w:jc w:val="center"/>
              <w:rPr>
                <w:rFonts w:cs="Times New Roman"/>
                <w:szCs w:val="24"/>
              </w:rPr>
            </w:pPr>
            <w:r>
              <w:rPr>
                <w:rFonts w:cs="Times New Roman"/>
                <w:szCs w:val="24"/>
              </w:rPr>
              <w:t>KOP293</w:t>
            </w:r>
          </w:p>
        </w:tc>
        <w:tc>
          <w:tcPr>
            <w:tcW w:w="7589" w:type="dxa"/>
            <w:tcBorders>
              <w:top w:val="single" w:color="4874CB" w:themeColor="accent1" w:sz="8" w:space="0"/>
              <w:left w:val="single" w:color="4874CB" w:themeColor="accent1" w:sz="8" w:space="0"/>
              <w:bottom w:val="single" w:color="4874CB" w:themeColor="accent1" w:sz="8" w:space="0"/>
            </w:tcBorders>
            <w:vAlign w:val="center"/>
          </w:tcPr>
          <w:p>
            <w:pPr>
              <w:rPr>
                <w:rFonts w:cs="Times New Roman"/>
                <w:szCs w:val="21"/>
              </w:rPr>
            </w:pPr>
            <w:r>
              <w:rPr>
                <w:rFonts w:cs="Times New Roman"/>
                <w:szCs w:val="21"/>
              </w:rPr>
              <w:t>KOP293</w:t>
            </w:r>
            <w:r>
              <w:rPr>
                <w:rFonts w:cs="Times New Roman" w:hAnsiTheme="minorEastAsia"/>
                <w:szCs w:val="21"/>
              </w:rPr>
              <w:t>是由珠海恺瑞生物</w:t>
            </w:r>
            <w:r>
              <w:rPr>
                <w:rFonts w:hint="eastAsia" w:cs="Times New Roman" w:hAnsiTheme="minorEastAsia"/>
                <w:szCs w:val="21"/>
              </w:rPr>
              <w:t>科技</w:t>
            </w:r>
            <w:r>
              <w:rPr>
                <w:rFonts w:cs="Times New Roman" w:hAnsiTheme="minorEastAsia"/>
                <w:szCs w:val="21"/>
              </w:rPr>
              <w:t>有限公司自主研发生产的</w:t>
            </w:r>
            <w:r>
              <w:rPr>
                <w:rFonts w:hint="eastAsia" w:cs="Times New Roman" w:hAnsiTheme="minorEastAsia"/>
                <w:szCs w:val="21"/>
              </w:rPr>
              <w:t>化学限定</w:t>
            </w:r>
            <w:r>
              <w:rPr>
                <w:rFonts w:cs="Times New Roman" w:hAnsiTheme="minorEastAsia"/>
                <w:szCs w:val="21"/>
              </w:rPr>
              <w:t>高密度无血清培养液。该培养液适用于人胚肾上皮</w:t>
            </w:r>
            <w:r>
              <w:rPr>
                <w:rFonts w:cs="Times New Roman"/>
                <w:szCs w:val="21"/>
                <w:shd w:val="clear" w:color="auto" w:fill="FFFFFF"/>
              </w:rPr>
              <w:t xml:space="preserve"> ( human embryo kidney 293, HEK293)</w:t>
            </w:r>
            <w:r>
              <w:rPr>
                <w:rFonts w:cs="Times New Roman" w:hAnsiTheme="minorEastAsia"/>
                <w:szCs w:val="21"/>
                <w:shd w:val="clear" w:color="auto" w:fill="FFFFFF"/>
              </w:rPr>
              <w:t>细胞</w:t>
            </w:r>
            <w:r>
              <w:rPr>
                <w:rFonts w:cs="Times New Roman" w:hAnsiTheme="minorEastAsia"/>
                <w:szCs w:val="21"/>
              </w:rPr>
              <w:t>的悬浮生长和重组蛋白质的表达。培养液使用时无需添加任何生长因子等添加物，悬浮培养可支撑的细胞密度约为</w:t>
            </w:r>
            <w:r>
              <w:rPr>
                <w:rFonts w:cs="Times New Roman"/>
                <w:szCs w:val="21"/>
              </w:rPr>
              <w:t>10-12</w:t>
            </w:r>
            <w:r>
              <w:t>×10</w:t>
            </w:r>
            <w:r>
              <w:rPr>
                <w:rFonts w:hint="eastAsia" w:cs="Times New Roman" w:hAnsiTheme="minorEastAsia"/>
                <w:szCs w:val="24"/>
                <w:vertAlign w:val="superscript"/>
              </w:rPr>
              <w:t>6</w:t>
            </w:r>
            <w:r>
              <w:rPr>
                <w:rFonts w:hint="eastAsia"/>
              </w:rPr>
              <w:t xml:space="preserve"> cells</w:t>
            </w:r>
            <w:r>
              <w:t>/</w:t>
            </w:r>
            <w:r>
              <w:rPr>
                <w:rFonts w:hint="eastAsia"/>
              </w:rPr>
              <w:t>ml</w:t>
            </w:r>
            <w:r>
              <w:rPr>
                <w:rFonts w:cs="Times New Roman" w:hAnsiTheme="minorEastAsia"/>
                <w:szCs w:val="21"/>
              </w:rPr>
              <w:t>。</w:t>
            </w:r>
          </w:p>
        </w:tc>
      </w:tr>
      <w:tr>
        <w:trPr>
          <w:trHeight w:val="713" w:hRule="atLeast"/>
          <w:jc w:val="center"/>
        </w:trPr>
        <w:tc>
          <w:tcPr>
            <w:tcW w:w="2373" w:type="dxa"/>
            <w:tcBorders>
              <w:top w:val="single" w:color="4874CB" w:themeColor="accent1" w:sz="8" w:space="0"/>
              <w:bottom w:val="single" w:color="4874CB" w:themeColor="accent1" w:sz="8" w:space="0"/>
              <w:right w:val="single" w:color="4874CB" w:themeColor="accent1" w:sz="8" w:space="0"/>
            </w:tcBorders>
            <w:vAlign w:val="center"/>
          </w:tcPr>
          <w:p>
            <w:pPr>
              <w:spacing w:line="324" w:lineRule="auto"/>
              <w:jc w:val="center"/>
              <w:rPr>
                <w:rFonts w:eastAsia="宋体" w:cs="Times New Roman"/>
              </w:rPr>
            </w:pPr>
            <w:r>
              <w:rPr>
                <w:rFonts w:hint="eastAsia" w:eastAsia="宋体" w:cs="Times New Roman"/>
              </w:rPr>
              <w:t>KD-CHO</w:t>
            </w:r>
          </w:p>
        </w:tc>
        <w:tc>
          <w:tcPr>
            <w:tcW w:w="7589" w:type="dxa"/>
            <w:tcBorders>
              <w:top w:val="single" w:color="4874CB" w:themeColor="accent1" w:sz="8" w:space="0"/>
              <w:left w:val="single" w:color="4874CB" w:themeColor="accent1" w:sz="8" w:space="0"/>
              <w:bottom w:val="single" w:color="4874CB" w:themeColor="accent1" w:sz="8" w:space="0"/>
            </w:tcBorders>
            <w:vAlign w:val="center"/>
          </w:tcPr>
          <w:p>
            <w:pPr>
              <w:rPr>
                <w:rFonts w:eastAsia="宋体" w:cs="Times New Roman"/>
              </w:rPr>
            </w:pPr>
            <w:r>
              <w:rPr>
                <w:rFonts w:hint="eastAsia" w:eastAsia="宋体"/>
              </w:rPr>
              <w:t>KD-CHO</w:t>
            </w:r>
            <w:r>
              <w:rPr>
                <w:rFonts w:eastAsia="宋体"/>
              </w:rPr>
              <w:t>为化学界定、无血清及无动物成分的高密度细胞培养液，适用于</w:t>
            </w:r>
            <w:r>
              <w:rPr>
                <w:rFonts w:hint="eastAsia" w:eastAsia="宋体"/>
              </w:rPr>
              <w:t>CHO-K1</w:t>
            </w:r>
            <w:r>
              <w:rPr>
                <w:rFonts w:eastAsia="宋体"/>
              </w:rPr>
              <w:t>细胞</w:t>
            </w:r>
            <w:r>
              <w:rPr>
                <w:rFonts w:hint="eastAsia" w:eastAsia="宋体"/>
              </w:rPr>
              <w:t>、</w:t>
            </w:r>
            <w:r>
              <w:rPr>
                <w:rFonts w:eastAsia="宋体"/>
              </w:rPr>
              <w:t>其它</w:t>
            </w:r>
            <w:r>
              <w:rPr>
                <w:rFonts w:hint="eastAsia" w:eastAsia="宋体"/>
              </w:rPr>
              <w:t>CHO</w:t>
            </w:r>
            <w:r>
              <w:rPr>
                <w:rFonts w:eastAsia="宋体"/>
              </w:rPr>
              <w:t>细胞的高密度悬浮培养及重组蛋白质表达。</w:t>
            </w:r>
          </w:p>
        </w:tc>
      </w:tr>
      <w:tr>
        <w:trPr>
          <w:trHeight w:val="605" w:hRule="atLeast"/>
          <w:jc w:val="center"/>
        </w:trPr>
        <w:tc>
          <w:tcPr>
            <w:tcW w:w="2373" w:type="dxa"/>
            <w:tcBorders>
              <w:top w:val="single" w:color="4874CB" w:themeColor="accent1" w:sz="8" w:space="0"/>
              <w:bottom w:val="single" w:color="4874CB" w:themeColor="accent1" w:sz="8" w:space="0"/>
              <w:right w:val="single" w:color="4874CB" w:themeColor="accent1" w:sz="8" w:space="0"/>
            </w:tcBorders>
            <w:vAlign w:val="center"/>
          </w:tcPr>
          <w:p>
            <w:pPr>
              <w:spacing w:line="324" w:lineRule="auto"/>
              <w:jc w:val="center"/>
              <w:rPr>
                <w:rFonts w:eastAsia="宋体" w:cs="Times New Roman"/>
              </w:rPr>
            </w:pPr>
            <w:r>
              <w:rPr>
                <w:rFonts w:hint="eastAsia" w:eastAsia="宋体" w:cs="Times New Roman"/>
              </w:rPr>
              <w:t>KD-Hybri</w:t>
            </w:r>
          </w:p>
        </w:tc>
        <w:tc>
          <w:tcPr>
            <w:tcW w:w="7589" w:type="dxa"/>
            <w:tcBorders>
              <w:top w:val="single" w:color="4874CB" w:themeColor="accent1" w:sz="8" w:space="0"/>
              <w:left w:val="single" w:color="4874CB" w:themeColor="accent1" w:sz="8" w:space="0"/>
              <w:bottom w:val="single" w:color="4874CB" w:themeColor="accent1" w:sz="8" w:space="0"/>
            </w:tcBorders>
            <w:vAlign w:val="center"/>
          </w:tcPr>
          <w:p>
            <w:pPr>
              <w:rPr>
                <w:rFonts w:eastAsia="宋体" w:cs="Times New Roman"/>
                <w:szCs w:val="24"/>
              </w:rPr>
            </w:pPr>
            <w:r>
              <w:rPr>
                <w:rFonts w:hint="eastAsia" w:eastAsia="宋体" w:cs="Times New Roman"/>
                <w:szCs w:val="24"/>
              </w:rPr>
              <w:t>骨髓瘤及杂交瘤细胞高密度无血清培养液。</w:t>
            </w:r>
          </w:p>
        </w:tc>
      </w:tr>
    </w:tbl>
    <w:p/>
    <w:sectPr>
      <w:headerReference r:id="rId5" w:type="default"/>
      <w:footerReference r:id="rId6" w:type="default"/>
      <w:pgSz w:w="11906" w:h="16838"/>
      <w:pgMar w:top="1440" w:right="1077" w:bottom="1440" w:left="1077"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MS Mincho">
    <w:altName w:val="Hiragino Sans"/>
    <w:panose1 w:val="02020609040205080304"/>
    <w:charset w:val="80"/>
    <w:family w:val="roman"/>
    <w:pitch w:val="default"/>
    <w:sig w:usb0="00000000" w:usb1="00000000" w:usb2="00000010" w:usb3="00000000" w:csb0="0002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860082579"/>
        </w:sdtPr>
        <w:sdtContent>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6"/>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370" w:hanging="8370" w:hangingChars="4650"/>
      <w:jc w:val="left"/>
    </w:pPr>
    <w:r>
      <w:drawing>
        <wp:inline distT="0" distB="0" distL="0" distR="0">
          <wp:extent cx="923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23810" cy="314286"/>
                  </a:xfrm>
                  <a:prstGeom prst="rect">
                    <a:avLst/>
                  </a:prstGeom>
                </pic:spPr>
              </pic:pic>
            </a:graphicData>
          </a:graphic>
        </wp:inline>
      </w:drawing>
    </w:r>
    <w:r>
      <w:rPr>
        <w:rFonts w:hint="eastAsia"/>
      </w:rPr>
      <w:t xml:space="preserve">                                                                           Tel：0756-363118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923E1"/>
    <w:multiLevelType w:val="singleLevel"/>
    <w:tmpl w:val="E85923E1"/>
    <w:lvl w:ilvl="0" w:tentative="0">
      <w:start w:val="1"/>
      <w:numFmt w:val="decimal"/>
      <w:lvlText w:val="%1)"/>
      <w:lvlJc w:val="left"/>
      <w:pPr>
        <w:tabs>
          <w:tab w:val="left" w:pos="420"/>
        </w:tabs>
        <w:ind w:left="845" w:hanging="425"/>
      </w:pPr>
      <w:rPr>
        <w:rFonts w:hint="default"/>
      </w:rPr>
    </w:lvl>
  </w:abstractNum>
  <w:abstractNum w:abstractNumId="1">
    <w:nsid w:val="24F8DED1"/>
    <w:multiLevelType w:val="singleLevel"/>
    <w:tmpl w:val="24F8DED1"/>
    <w:lvl w:ilvl="0" w:tentative="0">
      <w:start w:val="1"/>
      <w:numFmt w:val="decimal"/>
      <w:lvlText w:val="%1)"/>
      <w:lvlJc w:val="left"/>
      <w:pPr>
        <w:tabs>
          <w:tab w:val="left" w:pos="420"/>
        </w:tabs>
        <w:ind w:left="845" w:hanging="425"/>
      </w:pPr>
      <w:rPr>
        <w:rFonts w:hint="default"/>
      </w:rPr>
    </w:lvl>
  </w:abstractNum>
  <w:abstractNum w:abstractNumId="2">
    <w:nsid w:val="381F33D4"/>
    <w:multiLevelType w:val="multilevel"/>
    <w:tmpl w:val="381F33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E171B0"/>
    <w:multiLevelType w:val="multilevel"/>
    <w:tmpl w:val="42E171B0"/>
    <w:lvl w:ilvl="0" w:tentative="0">
      <w:start w:val="1"/>
      <w:numFmt w:val="decimal"/>
      <w:pStyle w:val="1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9D7948"/>
    <w:multiLevelType w:val="singleLevel"/>
    <w:tmpl w:val="719D7948"/>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BhZGZmM2RkZTkxNGRiZGY5MWMzNzhmNGFkYzcifQ=="/>
  </w:docVars>
  <w:rsids>
    <w:rsidRoot w:val="5F0E68CE"/>
    <w:rsid w:val="00031BF1"/>
    <w:rsid w:val="0004722F"/>
    <w:rsid w:val="000B3F14"/>
    <w:rsid w:val="002746AA"/>
    <w:rsid w:val="002E1E92"/>
    <w:rsid w:val="002F324A"/>
    <w:rsid w:val="00341D8C"/>
    <w:rsid w:val="00360022"/>
    <w:rsid w:val="003775CA"/>
    <w:rsid w:val="003A1F5B"/>
    <w:rsid w:val="003C666C"/>
    <w:rsid w:val="004948FD"/>
    <w:rsid w:val="004F48C4"/>
    <w:rsid w:val="005A1508"/>
    <w:rsid w:val="0064220D"/>
    <w:rsid w:val="00643A9D"/>
    <w:rsid w:val="00652EF8"/>
    <w:rsid w:val="0066421B"/>
    <w:rsid w:val="006F4157"/>
    <w:rsid w:val="00715E40"/>
    <w:rsid w:val="007660E8"/>
    <w:rsid w:val="007E669B"/>
    <w:rsid w:val="00821898"/>
    <w:rsid w:val="00834827"/>
    <w:rsid w:val="00882A3D"/>
    <w:rsid w:val="008A3E99"/>
    <w:rsid w:val="00930995"/>
    <w:rsid w:val="00936DA8"/>
    <w:rsid w:val="00963038"/>
    <w:rsid w:val="00971717"/>
    <w:rsid w:val="00976C9E"/>
    <w:rsid w:val="00995359"/>
    <w:rsid w:val="009A0135"/>
    <w:rsid w:val="009C494B"/>
    <w:rsid w:val="009C5F15"/>
    <w:rsid w:val="00A331C5"/>
    <w:rsid w:val="00A51649"/>
    <w:rsid w:val="00B20B12"/>
    <w:rsid w:val="00B318FD"/>
    <w:rsid w:val="00B82E8F"/>
    <w:rsid w:val="00BA162D"/>
    <w:rsid w:val="00BC55C0"/>
    <w:rsid w:val="00BD74AB"/>
    <w:rsid w:val="00BE0AE9"/>
    <w:rsid w:val="00BE3977"/>
    <w:rsid w:val="00C2127C"/>
    <w:rsid w:val="00C23155"/>
    <w:rsid w:val="00C30CFD"/>
    <w:rsid w:val="00C550A3"/>
    <w:rsid w:val="00C57EFA"/>
    <w:rsid w:val="00C726BB"/>
    <w:rsid w:val="00CD0E5D"/>
    <w:rsid w:val="00D2412A"/>
    <w:rsid w:val="00DB2F6E"/>
    <w:rsid w:val="00DF475F"/>
    <w:rsid w:val="00E05529"/>
    <w:rsid w:val="00E33B9F"/>
    <w:rsid w:val="00E45573"/>
    <w:rsid w:val="00E65099"/>
    <w:rsid w:val="00EB654D"/>
    <w:rsid w:val="00ED309C"/>
    <w:rsid w:val="00F0623E"/>
    <w:rsid w:val="00F6075F"/>
    <w:rsid w:val="00FC5D2D"/>
    <w:rsid w:val="02186A33"/>
    <w:rsid w:val="02497534"/>
    <w:rsid w:val="071023CF"/>
    <w:rsid w:val="0C1741FF"/>
    <w:rsid w:val="0C6E5BD3"/>
    <w:rsid w:val="0C760F26"/>
    <w:rsid w:val="0D093B48"/>
    <w:rsid w:val="0E3C4BF4"/>
    <w:rsid w:val="0F786D63"/>
    <w:rsid w:val="12ED7A68"/>
    <w:rsid w:val="138849B4"/>
    <w:rsid w:val="13C829FD"/>
    <w:rsid w:val="1801440D"/>
    <w:rsid w:val="1CC96E50"/>
    <w:rsid w:val="1D454590"/>
    <w:rsid w:val="1EF74E83"/>
    <w:rsid w:val="205B0707"/>
    <w:rsid w:val="21BB1C63"/>
    <w:rsid w:val="227E3026"/>
    <w:rsid w:val="25DF5936"/>
    <w:rsid w:val="297665B1"/>
    <w:rsid w:val="2AD92954"/>
    <w:rsid w:val="2D5269EE"/>
    <w:rsid w:val="30033805"/>
    <w:rsid w:val="31C14142"/>
    <w:rsid w:val="33042538"/>
    <w:rsid w:val="34B128AF"/>
    <w:rsid w:val="37A442EA"/>
    <w:rsid w:val="3A717536"/>
    <w:rsid w:val="3B903503"/>
    <w:rsid w:val="3D18555E"/>
    <w:rsid w:val="3D363C36"/>
    <w:rsid w:val="3F19736B"/>
    <w:rsid w:val="403A1C8F"/>
    <w:rsid w:val="416F7716"/>
    <w:rsid w:val="418A1758"/>
    <w:rsid w:val="42C46384"/>
    <w:rsid w:val="46236D21"/>
    <w:rsid w:val="46A47E62"/>
    <w:rsid w:val="46ED65CB"/>
    <w:rsid w:val="47B40579"/>
    <w:rsid w:val="49953189"/>
    <w:rsid w:val="4A9E2E1A"/>
    <w:rsid w:val="4D50664E"/>
    <w:rsid w:val="4D5D0D6B"/>
    <w:rsid w:val="4DE374C2"/>
    <w:rsid w:val="4ED60DD5"/>
    <w:rsid w:val="4FBF3F5F"/>
    <w:rsid w:val="4FD80B7D"/>
    <w:rsid w:val="51F55A16"/>
    <w:rsid w:val="586E3AE5"/>
    <w:rsid w:val="5C207B33"/>
    <w:rsid w:val="5F0E68CE"/>
    <w:rsid w:val="602A0F80"/>
    <w:rsid w:val="60BD1DF5"/>
    <w:rsid w:val="61587823"/>
    <w:rsid w:val="62AE2CBA"/>
    <w:rsid w:val="67513297"/>
    <w:rsid w:val="67B0620F"/>
    <w:rsid w:val="68570D81"/>
    <w:rsid w:val="6B2D5DC9"/>
    <w:rsid w:val="6C5B6D25"/>
    <w:rsid w:val="6EBC1C04"/>
    <w:rsid w:val="6FA36659"/>
    <w:rsid w:val="70E94540"/>
    <w:rsid w:val="717B788E"/>
    <w:rsid w:val="77DA2E34"/>
    <w:rsid w:val="796926C2"/>
    <w:rsid w:val="7E4D5B60"/>
    <w:rsid w:val="7FDF548C"/>
    <w:rsid w:val="DEFC8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imes New Roman" w:hAnsi="Times New Roman" w:eastAsiaTheme="minorEastAsia" w:cstheme="minorBidi"/>
      <w:sz w:val="24"/>
      <w:szCs w:val="22"/>
      <w:lang w:val="en-US" w:eastAsia="zh-CN" w:bidi="ar-SA"/>
    </w:rPr>
  </w:style>
  <w:style w:type="paragraph" w:styleId="2">
    <w:name w:val="heading 1"/>
    <w:basedOn w:val="1"/>
    <w:next w:val="1"/>
    <w:autoRedefine/>
    <w:qFormat/>
    <w:uiPriority w:val="9"/>
    <w:pPr>
      <w:keepNext/>
      <w:keepLines/>
      <w:outlineLvl w:val="0"/>
    </w:pPr>
    <w:rPr>
      <w:b/>
      <w:bCs/>
      <w:kern w:val="44"/>
      <w:sz w:val="28"/>
      <w:szCs w:val="44"/>
    </w:rPr>
  </w:style>
  <w:style w:type="paragraph" w:styleId="3">
    <w:name w:val="heading 2"/>
    <w:basedOn w:val="1"/>
    <w:next w:val="1"/>
    <w:unhideWhenUsed/>
    <w:qFormat/>
    <w:uiPriority w:val="9"/>
    <w:pPr>
      <w:keepNext/>
      <w:keepLines/>
      <w:outlineLvl w:val="1"/>
    </w:pPr>
    <w:rPr>
      <w:rFonts w:asciiTheme="majorHAnsi" w:hAnsiTheme="majorHAnsi" w:eastAsiaTheme="majorEastAsia" w:cstheme="majorBidi"/>
      <w:b/>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uiPriority w:val="0"/>
  </w:style>
  <w:style w:type="paragraph" w:styleId="5">
    <w:name w:val="Balloon Text"/>
    <w:basedOn w:val="1"/>
    <w:link w:val="17"/>
    <w:uiPriority w:val="0"/>
    <w:pPr>
      <w:spacing w:line="240" w:lineRule="auto"/>
    </w:pPr>
    <w:rPr>
      <w:sz w:val="18"/>
      <w:szCs w:val="18"/>
    </w:rPr>
  </w:style>
  <w:style w:type="paragraph" w:styleId="6">
    <w:name w:val="footer"/>
    <w:basedOn w:val="1"/>
    <w:unhideWhenUsed/>
    <w:qFormat/>
    <w:uiPriority w:val="99"/>
    <w:pPr>
      <w:tabs>
        <w:tab w:val="center" w:pos="4153"/>
        <w:tab w:val="right" w:pos="8306"/>
      </w:tabs>
    </w:pPr>
    <w:rPr>
      <w:sz w:val="18"/>
      <w:szCs w:val="18"/>
    </w:rPr>
  </w:style>
  <w:style w:type="paragraph" w:styleId="7">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jc w:val="center"/>
      <w:outlineLvl w:val="0"/>
    </w:pPr>
    <w:rPr>
      <w:rFonts w:eastAsiaTheme="majorEastAsia" w:cstheme="majorBidi"/>
      <w:b/>
      <w:bCs/>
      <w:sz w:val="36"/>
      <w:szCs w:val="32"/>
    </w:rPr>
  </w:style>
  <w:style w:type="paragraph" w:styleId="9">
    <w:name w:val="annotation subject"/>
    <w:basedOn w:val="4"/>
    <w:next w:val="4"/>
    <w:link w:val="19"/>
    <w:uiPriority w:val="0"/>
    <w:rPr>
      <w:b/>
      <w:bCs/>
    </w:rPr>
  </w:style>
  <w:style w:type="table" w:styleId="11">
    <w:name w:val="Table Grid"/>
    <w:basedOn w:val="10"/>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annotation reference"/>
    <w:basedOn w:val="12"/>
    <w:uiPriority w:val="0"/>
    <w:rPr>
      <w:sz w:val="21"/>
      <w:szCs w:val="21"/>
    </w:rPr>
  </w:style>
  <w:style w:type="paragraph" w:styleId="15">
    <w:name w:val="List Paragraph"/>
    <w:basedOn w:val="1"/>
    <w:autoRedefine/>
    <w:qFormat/>
    <w:uiPriority w:val="34"/>
    <w:pPr>
      <w:numPr>
        <w:ilvl w:val="0"/>
        <w:numId w:val="1"/>
      </w:numPr>
    </w:pPr>
  </w:style>
  <w:style w:type="paragraph" w:styleId="16">
    <w:name w:val="No Spacing"/>
    <w:autoRedefine/>
    <w:qFormat/>
    <w:uiPriority w:val="1"/>
    <w:pPr>
      <w:adjustRightInd w:val="0"/>
      <w:snapToGrid w:val="0"/>
      <w:ind w:left="360"/>
    </w:pPr>
    <w:rPr>
      <w:rFonts w:ascii="Tahoma" w:hAnsi="Tahoma" w:eastAsia="微软雅黑" w:cstheme="minorBidi"/>
      <w:sz w:val="22"/>
      <w:szCs w:val="22"/>
      <w:lang w:val="en-US" w:eastAsia="zh-CN" w:bidi="ar-SA"/>
    </w:rPr>
  </w:style>
  <w:style w:type="character" w:customStyle="1" w:styleId="17">
    <w:name w:val="批注框文本 Char"/>
    <w:basedOn w:val="12"/>
    <w:link w:val="5"/>
    <w:uiPriority w:val="0"/>
    <w:rPr>
      <w:rFonts w:eastAsiaTheme="minorEastAsia" w:cstheme="minorBidi"/>
      <w:sz w:val="18"/>
      <w:szCs w:val="18"/>
    </w:rPr>
  </w:style>
  <w:style w:type="character" w:customStyle="1" w:styleId="18">
    <w:name w:val="批注文字 Char"/>
    <w:basedOn w:val="12"/>
    <w:link w:val="4"/>
    <w:uiPriority w:val="0"/>
    <w:rPr>
      <w:rFonts w:eastAsiaTheme="minorEastAsia" w:cstheme="minorBidi"/>
      <w:sz w:val="24"/>
      <w:szCs w:val="22"/>
    </w:rPr>
  </w:style>
  <w:style w:type="character" w:customStyle="1" w:styleId="19">
    <w:name w:val="批注主题 Char"/>
    <w:basedOn w:val="18"/>
    <w:link w:val="9"/>
    <w:uiPriority w:val="0"/>
    <w:rPr>
      <w:rFonts w:eastAsiaTheme="minorEastAsia" w:cstheme="minorBidi"/>
      <w:b/>
      <w:bCs/>
      <w:sz w:val="24"/>
      <w:szCs w:val="22"/>
    </w:rPr>
  </w:style>
  <w:style w:type="paragraph" w:customStyle="1" w:styleId="20">
    <w:name w:val="Revision"/>
    <w:hidden/>
    <w:semiHidden/>
    <w:uiPriority w:val="99"/>
    <w:rPr>
      <w:rFonts w:ascii="Times New Roman" w:hAnsi="Times New Roman" w:eastAsiaTheme="minorEastAsia" w:cstheme="minorBidi"/>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2297</Words>
  <Characters>2951</Characters>
  <Lines>22</Lines>
  <Paragraphs>6</Paragraphs>
  <TotalTime>262</TotalTime>
  <ScaleCrop>false</ScaleCrop>
  <LinksUpToDate>false</LinksUpToDate>
  <CharactersWithSpaces>2980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2024-01-23T11:18:00Z</dcterms:created>
  <dc:creator>两清</dc:creator>
  <cp:lastModifiedBy>梁凯封</cp:lastModifiedBy>
  <dcterms:modified xsi:type="dcterms:W3CDTF">2024-04-18T09:01:46Z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D4317D77BC4C4F91A21FE94E2065D359_13</vt:lpwstr>
  </property>
</Properties>
</file>