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4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珠海恺瑞邮寄细胞处理方法（1.0版）</w:t>
      </w:r>
      <w:bookmarkStart w:id="0" w:name="_GoBack"/>
      <w:bookmarkEnd w:id="0"/>
    </w:p>
    <w:p/>
    <w:p>
      <w:pPr>
        <w:ind w:firstLine="480" w:firstLineChars="200"/>
      </w:pPr>
      <w:r>
        <w:t>珠海恺瑞</w:t>
      </w:r>
      <w:r>
        <w:rPr>
          <w:rFonts w:hint="eastAsia"/>
        </w:rPr>
        <w:t>生物科技</w:t>
      </w:r>
      <w:r>
        <w:t>提供的细胞</w:t>
      </w:r>
      <w:r>
        <w:rPr>
          <w:rFonts w:hint="eastAsia"/>
        </w:rPr>
        <w:t>已经</w:t>
      </w:r>
      <w:r>
        <w:t>经</w:t>
      </w:r>
      <w:r>
        <w:rPr>
          <w:rFonts w:hint="eastAsia"/>
        </w:rPr>
        <w:t>过</w:t>
      </w:r>
      <w:r>
        <w:t>无血清培养驯化，支持高密度悬浮培养。细胞的邮寄方式有常温与干冰运输，</w:t>
      </w:r>
      <w:r>
        <w:rPr>
          <w:rFonts w:hint="eastAsia"/>
        </w:rPr>
        <w:t>我们</w:t>
      </w:r>
      <w:r>
        <w:t>会根据实际情况采用不同的寄送方式</w:t>
      </w:r>
      <w:r>
        <w:rPr>
          <w:rFonts w:hint="eastAsia"/>
        </w:rPr>
        <w:t>。</w:t>
      </w:r>
    </w:p>
    <w:p>
      <w:pPr>
        <w:rPr>
          <w:b/>
          <w:bCs/>
          <w:kern w:val="44"/>
          <w:sz w:val="28"/>
          <w:szCs w:val="44"/>
        </w:rPr>
      </w:pPr>
      <w:r>
        <w:rPr>
          <w:rFonts w:hint="eastAsia"/>
          <w:b/>
          <w:bCs/>
          <w:sz w:val="28"/>
          <w:szCs w:val="28"/>
        </w:rPr>
        <w:t>一、干冰寄送细胞的处理方法</w:t>
      </w:r>
    </w:p>
    <w:p>
      <w:pPr>
        <w:pStyle w:val="2"/>
      </w:pPr>
      <w:r>
        <w:t>1.常规说明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61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1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细胞名称</w:t>
            </w:r>
          </w:p>
        </w:tc>
        <w:tc>
          <w:tcPr>
            <w:tcW w:w="61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HEK293</w:t>
            </w:r>
            <w:r>
              <w:rPr>
                <w:rFonts w:hint="eastAsia" w:eastAsiaTheme="minorEastAsia"/>
              </w:rPr>
              <w:t xml:space="preserve"> / CHOK1-Hi / CHO-K1 / SP2/0 细胞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生长特性</w:t>
            </w:r>
          </w:p>
        </w:tc>
        <w:tc>
          <w:tcPr>
            <w:tcW w:w="6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高密度悬浮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运输载体</w:t>
            </w:r>
          </w:p>
        </w:tc>
        <w:tc>
          <w:tcPr>
            <w:tcW w:w="612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1.8ml冻存管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9" w:type="dxa"/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细胞悬液体积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细胞密度</w:t>
            </w:r>
          </w:p>
        </w:tc>
        <w:tc>
          <w:tcPr>
            <w:tcW w:w="61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1.0×10</w:t>
            </w:r>
            <w:r>
              <w:rPr>
                <w:rFonts w:eastAsiaTheme="minorEastAsia"/>
                <w:vertAlign w:val="superscript"/>
              </w:rPr>
              <w:t>7</w:t>
            </w:r>
            <w:r>
              <w:rPr>
                <w:rFonts w:hint="eastAsia" w:eastAsiaTheme="minorEastAsia"/>
              </w:rPr>
              <w:t>cells</w:t>
            </w:r>
            <w:r>
              <w:rPr>
                <w:rFonts w:eastAsiaTheme="minorEastAsia"/>
              </w:rPr>
              <w:t>/</w:t>
            </w:r>
            <w:r>
              <w:rPr>
                <w:rFonts w:hint="eastAsia" w:eastAsiaTheme="minorEastAsia"/>
              </w:rPr>
              <w:t>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细胞存活率</w:t>
            </w:r>
          </w:p>
        </w:tc>
        <w:tc>
          <w:tcPr>
            <w:tcW w:w="6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一般大于98%</w:t>
            </w:r>
          </w:p>
        </w:tc>
      </w:tr>
    </w:tbl>
    <w:p>
      <w:pPr>
        <w:rPr>
          <w:szCs w:val="24"/>
        </w:rPr>
      </w:pPr>
    </w:p>
    <w:p>
      <w:pPr>
        <w:pStyle w:val="2"/>
      </w:pPr>
      <w:r>
        <w:t>2.细胞处理方式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收到细胞后请查看运输包装中是否还有足够的干冰，以确保没有因干冰过少而</w:t>
      </w:r>
      <w:r>
        <w:rPr>
          <w:rFonts w:hint="eastAsia" w:eastAsia="宋体"/>
        </w:rPr>
        <w:t>导致</w:t>
      </w:r>
      <w:r>
        <w:rPr>
          <w:rFonts w:eastAsia="宋体"/>
        </w:rPr>
        <w:t>细胞化冻受损。如果发现干冰过少或消耗殆尽，请及时向</w:t>
      </w:r>
      <w:r>
        <w:rPr>
          <w:rFonts w:hint="eastAsia" w:eastAsia="宋体"/>
        </w:rPr>
        <w:t>我们</w:t>
      </w:r>
      <w:r>
        <w:rPr>
          <w:rFonts w:eastAsia="宋体"/>
        </w:rPr>
        <w:t>反馈；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确认细胞没问题后，建议立即对细胞进行复苏，或者将冻存管放入液氮中储存约72小时，使细胞适应环境后再解冻复苏。请勿将细胞长期存放在-80℃冰箱；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从液氮罐或运输的干冰中取出冻存管，立即放置于37℃温水中，直至管内冰晶完全融化（复苏细胞应采用快速融化的方法，建议3min内，以减少细胞化冻过程中的损伤）；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解冻后用75%乙醇彻底擦拭冻存管，用移液枪将细胞悬液全部转移至一个规格为100ml的无菌摇瓶中，缓慢加入</w:t>
      </w:r>
      <w:r>
        <w:rPr>
          <w:rFonts w:hint="eastAsia" w:eastAsia="宋体"/>
        </w:rPr>
        <w:t>对应的</w:t>
      </w:r>
      <w:r>
        <w:rPr>
          <w:rFonts w:eastAsia="宋体"/>
        </w:rPr>
        <w:t>细胞培养液，至其终体积为20ml、细胞密度为0.5×10</w:t>
      </w:r>
      <w:r>
        <w:rPr>
          <w:rFonts w:eastAsia="宋体"/>
          <w:vertAlign w:val="superscript"/>
        </w:rPr>
        <w:t>6</w:t>
      </w:r>
      <w:r>
        <w:rPr>
          <w:rFonts w:hint="eastAsia" w:eastAsia="宋体"/>
        </w:rPr>
        <w:t xml:space="preserve"> cells</w:t>
      </w:r>
      <w:r>
        <w:rPr>
          <w:rFonts w:eastAsia="宋体"/>
        </w:rPr>
        <w:t>/</w:t>
      </w:r>
      <w:r>
        <w:rPr>
          <w:rFonts w:hint="eastAsia" w:eastAsia="宋体"/>
        </w:rPr>
        <w:t>ml</w:t>
      </w:r>
      <w:r>
        <w:rPr>
          <w:rFonts w:hint="eastAsia" w:eastAsia="宋体"/>
          <w:b/>
          <w:bCs/>
        </w:rPr>
        <w:t>（由于冻存过程使用的是珠海恺瑞开发的冻存液KD-Freeze，该冻存液不影响细胞生长，所以无需离心去除）</w:t>
      </w:r>
      <w:r>
        <w:rPr>
          <w:rFonts w:eastAsia="宋体"/>
        </w:rPr>
        <w:t>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将摇瓶置于摇床中震荡培养（摇床参数：</w:t>
      </w:r>
      <w:r>
        <w:rPr>
          <w:rFonts w:hint="eastAsia" w:eastAsia="宋体"/>
        </w:rPr>
        <w:t>80-</w:t>
      </w:r>
      <w:r>
        <w:rPr>
          <w:rFonts w:eastAsia="宋体"/>
        </w:rPr>
        <w:t>120rpm、37℃、5%CO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>）；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培养3-5天</w:t>
      </w:r>
      <w:r>
        <w:rPr>
          <w:rFonts w:hint="eastAsia" w:eastAsia="宋体"/>
        </w:rPr>
        <w:t>（SP2/0细胞则需2-3天）</w:t>
      </w:r>
      <w:r>
        <w:rPr>
          <w:rFonts w:eastAsia="宋体"/>
        </w:rPr>
        <w:t>后对细胞进行计数，观察细胞密度和存活率是否上升。若细胞密度达到3-6×10</w:t>
      </w:r>
      <w:r>
        <w:rPr>
          <w:rFonts w:eastAsia="宋体"/>
          <w:vertAlign w:val="superscript"/>
        </w:rPr>
        <w:t>6</w:t>
      </w:r>
      <w:r>
        <w:rPr>
          <w:rFonts w:hint="eastAsia" w:eastAsia="宋体"/>
        </w:rPr>
        <w:t xml:space="preserve"> cells</w:t>
      </w:r>
      <w:r>
        <w:rPr>
          <w:rFonts w:eastAsia="宋体"/>
        </w:rPr>
        <w:t>/</w:t>
      </w:r>
      <w:r>
        <w:rPr>
          <w:rFonts w:hint="eastAsia" w:eastAsia="宋体"/>
        </w:rPr>
        <w:t>ml</w:t>
      </w:r>
      <w:r>
        <w:rPr>
          <w:rFonts w:eastAsia="宋体"/>
        </w:rPr>
        <w:t>，可对细胞进行传代处理；若细胞密度达到</w:t>
      </w:r>
      <w:r>
        <w:rPr>
          <w:rFonts w:hint="eastAsia" w:eastAsia="宋体"/>
        </w:rPr>
        <w:t>对数生长期</w:t>
      </w:r>
      <w:r>
        <w:rPr>
          <w:rFonts w:eastAsia="宋体"/>
        </w:rPr>
        <w:t>3-</w:t>
      </w:r>
      <w:r>
        <w:rPr>
          <w:rFonts w:hint="eastAsia" w:eastAsia="宋体"/>
        </w:rPr>
        <w:t>5</w:t>
      </w:r>
      <w:r>
        <w:rPr>
          <w:rFonts w:eastAsia="宋体"/>
        </w:rPr>
        <w:t>×10</w:t>
      </w:r>
      <w:r>
        <w:rPr>
          <w:rFonts w:eastAsia="宋体"/>
          <w:vertAlign w:val="superscript"/>
        </w:rPr>
        <w:t>6</w:t>
      </w:r>
      <w:r>
        <w:rPr>
          <w:rFonts w:eastAsia="宋体"/>
        </w:rPr>
        <w:t xml:space="preserve"> cells/ml，可对细胞进行传代处理；</w:t>
      </w:r>
      <w:r>
        <w:rPr>
          <w:rFonts w:hint="eastAsia" w:eastAsia="宋体"/>
        </w:rPr>
        <w:t>若细胞活率较低，可转移至T75培养瓶中静置培养，待细胞恢复活率后再转移至摇瓶培养；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eastAsia="宋体"/>
        </w:rPr>
        <w:t>一般细胞传代1-2次后即可恢复正常的生长状态，</w:t>
      </w:r>
      <w:r>
        <w:rPr>
          <w:rFonts w:eastAsia="宋体"/>
          <w:b/>
        </w:rPr>
        <w:t>后续的传代操作请参照</w:t>
      </w:r>
      <w:r>
        <w:rPr>
          <w:rFonts w:hint="eastAsia" w:eastAsia="宋体"/>
          <w:b/>
        </w:rPr>
        <w:t>“珠海恺瑞产品</w:t>
      </w:r>
      <w:r>
        <w:rPr>
          <w:rFonts w:eastAsia="宋体"/>
          <w:b/>
        </w:rPr>
        <w:t>使用</w:t>
      </w:r>
      <w:r>
        <w:rPr>
          <w:rFonts w:hint="eastAsia" w:eastAsia="宋体"/>
          <w:b/>
        </w:rPr>
        <w:t>指南”</w:t>
      </w:r>
      <w:r>
        <w:rPr>
          <w:rFonts w:eastAsia="宋体"/>
          <w:b/>
        </w:rPr>
        <w:t>。</w:t>
      </w:r>
    </w:p>
    <w:p>
      <w:pPr>
        <w:pStyle w:val="13"/>
        <w:numPr>
          <w:ilvl w:val="0"/>
          <w:numId w:val="1"/>
        </w:numPr>
        <w:ind w:left="0" w:firstLine="0" w:firstLineChars="0"/>
        <w:rPr>
          <w:rFonts w:eastAsia="宋体"/>
        </w:rPr>
      </w:pPr>
      <w:r>
        <w:rPr>
          <w:rFonts w:hint="eastAsia" w:eastAsia="宋体"/>
        </w:rPr>
        <w:t>不同细胞根据对应的培养液进行添加培养。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细胞名称</w:t>
            </w:r>
          </w:p>
        </w:tc>
        <w:tc>
          <w:tcPr>
            <w:tcW w:w="4882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培养条件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HEK293</w:t>
            </w:r>
          </w:p>
        </w:tc>
        <w:tc>
          <w:tcPr>
            <w:tcW w:w="4882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KOP293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CHOK1-Hi</w:t>
            </w:r>
          </w:p>
        </w:tc>
        <w:tc>
          <w:tcPr>
            <w:tcW w:w="4882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Hi-KDCHO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CHO-K1</w:t>
            </w:r>
          </w:p>
        </w:tc>
        <w:tc>
          <w:tcPr>
            <w:tcW w:w="4882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KDCHO-CD3 + 7.</w:t>
            </w:r>
            <w:r>
              <w:rPr>
                <w:rFonts w:eastAsia="宋体"/>
              </w:rPr>
              <w:t>4</w:t>
            </w:r>
            <w:r>
              <w:rPr>
                <w:rFonts w:hint="eastAsia" w:eastAsia="宋体"/>
              </w:rPr>
              <w:t>mM力肽溶液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SP2/0</w:t>
            </w:r>
          </w:p>
        </w:tc>
        <w:tc>
          <w:tcPr>
            <w:tcW w:w="4882" w:type="dxa"/>
          </w:tcPr>
          <w:p>
            <w:pPr>
              <w:pStyle w:val="13"/>
              <w:numPr>
                <w:ilvl w:val="255"/>
                <w:numId w:val="0"/>
              </w:numPr>
              <w:ind w:left="480" w:leftChars="200"/>
              <w:rPr>
                <w:rFonts w:eastAsia="宋体"/>
              </w:rPr>
            </w:pPr>
            <w:r>
              <w:rPr>
                <w:rFonts w:hint="eastAsia" w:eastAsia="宋体"/>
              </w:rPr>
              <w:t>KD-Hybri+ITSplus</w:t>
            </w:r>
          </w:p>
        </w:tc>
      </w:tr>
    </w:tbl>
    <w:p>
      <w:pPr>
        <w:pStyle w:val="13"/>
        <w:numPr>
          <w:ilvl w:val="255"/>
          <w:numId w:val="0"/>
        </w:numPr>
        <w:rPr>
          <w:rFonts w:eastAsia="宋体"/>
        </w:rPr>
      </w:pPr>
    </w:p>
    <w:p>
      <w:pPr>
        <w:pStyle w:val="13"/>
        <w:numPr>
          <w:ilvl w:val="255"/>
          <w:numId w:val="0"/>
        </w:numPr>
        <w:rPr>
          <w:b/>
          <w:bCs/>
          <w:sz w:val="28"/>
          <w:szCs w:val="28"/>
        </w:rPr>
      </w:pPr>
      <w:r>
        <w:rPr>
          <w:rFonts w:hint="eastAsia" w:eastAsia="宋体"/>
        </w:rPr>
        <w:t>二、</w:t>
      </w:r>
      <w:r>
        <w:rPr>
          <w:rFonts w:hint="eastAsia"/>
          <w:b/>
          <w:bCs/>
          <w:sz w:val="28"/>
          <w:szCs w:val="28"/>
        </w:rPr>
        <w:t>常温</w:t>
      </w:r>
      <w:r>
        <w:rPr>
          <w:b/>
          <w:bCs/>
          <w:sz w:val="28"/>
          <w:szCs w:val="28"/>
        </w:rPr>
        <w:t>寄送细胞的处理方法</w:t>
      </w:r>
    </w:p>
    <w:p>
      <w:pPr>
        <w:pStyle w:val="2"/>
      </w:pPr>
      <w:r>
        <w:rPr>
          <w:rFonts w:hint="eastAsia"/>
        </w:rPr>
        <w:t>1.常规说明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细胞名称</w:t>
            </w:r>
          </w:p>
        </w:tc>
        <w:tc>
          <w:tcPr>
            <w:tcW w:w="61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 w:eastAsia="宋体"/>
              </w:rPr>
              <w:t>HEK</w:t>
            </w:r>
            <w:r>
              <w:rPr>
                <w:rFonts w:eastAsia="宋体"/>
              </w:rPr>
              <w:t>293</w:t>
            </w:r>
            <w:r>
              <w:rPr>
                <w:rFonts w:hint="eastAsia" w:eastAsiaTheme="minorEastAsia"/>
              </w:rPr>
              <w:t xml:space="preserve"> /HEK293-ATM/ CHOK1-Hi / CHO-K1 细胞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生长特性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高密度悬浮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运输载体</w:t>
            </w:r>
          </w:p>
        </w:tc>
        <w:tc>
          <w:tcPr>
            <w:tcW w:w="612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125ml无菌试剂瓶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细胞悬液体积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50-60ml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细胞密度</w:t>
            </w:r>
          </w:p>
        </w:tc>
        <w:tc>
          <w:tcPr>
            <w:tcW w:w="61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1.0×10</w:t>
            </w:r>
            <w:r>
              <w:rPr>
                <w:rFonts w:eastAsia="宋体"/>
                <w:vertAlign w:val="superscript"/>
              </w:rPr>
              <w:t xml:space="preserve">6 </w:t>
            </w:r>
            <w:r>
              <w:rPr>
                <w:rFonts w:hint="eastAsia" w:eastAsia="宋体"/>
              </w:rPr>
              <w:t>cells</w:t>
            </w:r>
            <w:r>
              <w:rPr>
                <w:rFonts w:eastAsia="宋体"/>
              </w:rPr>
              <w:t>/</w:t>
            </w:r>
            <w:r>
              <w:rPr>
                <w:rFonts w:hint="eastAsia" w:eastAsia="宋体"/>
              </w:rPr>
              <w:t>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细胞存活率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eastAsia="宋体"/>
              </w:rPr>
              <w:t>一般大于98%</w:t>
            </w:r>
          </w:p>
        </w:tc>
      </w:tr>
    </w:tbl>
    <w:p>
      <w:pPr>
        <w:pStyle w:val="2"/>
      </w:pPr>
      <w:r>
        <w:rPr>
          <w:rFonts w:hint="eastAsia"/>
        </w:rPr>
        <w:t>2.细胞处理方式</w:t>
      </w:r>
    </w:p>
    <w:p>
      <w:pPr>
        <w:pStyle w:val="13"/>
        <w:numPr>
          <w:ilvl w:val="0"/>
          <w:numId w:val="2"/>
        </w:numPr>
        <w:ind w:left="0" w:firstLine="0" w:firstLineChars="0"/>
        <w:rPr>
          <w:rFonts w:eastAsia="宋体"/>
        </w:rPr>
      </w:pPr>
      <w:r>
        <w:rPr>
          <w:rFonts w:eastAsia="宋体"/>
        </w:rPr>
        <w:t>收到细胞后请先观察是否染菌，正常的细胞悬液应该是透亮微浑浊的液体，若出现污染而导致悬液浑浊请及时向珠海恺瑞反馈。运输中细胞悬液有可能会出现絮状颗粒，此为正常现象。</w:t>
      </w:r>
    </w:p>
    <w:p>
      <w:pPr>
        <w:pStyle w:val="13"/>
        <w:numPr>
          <w:ilvl w:val="0"/>
          <w:numId w:val="2"/>
        </w:numPr>
        <w:ind w:left="0" w:firstLine="0" w:firstLineChars="0"/>
        <w:rPr>
          <w:rFonts w:eastAsia="宋体"/>
        </w:rPr>
      </w:pPr>
      <w:r>
        <w:rPr>
          <w:rFonts w:eastAsia="宋体"/>
        </w:rPr>
        <w:t>确认细胞无污染后，请及时将细胞转移至规格为250ml的摇瓶中震荡培养，具体方法如下：</w:t>
      </w:r>
    </w:p>
    <w:p>
      <w:pPr>
        <w:pStyle w:val="13"/>
        <w:numPr>
          <w:ilvl w:val="0"/>
          <w:numId w:val="3"/>
        </w:numPr>
        <w:ind w:firstLineChars="0"/>
        <w:rPr>
          <w:rFonts w:eastAsia="宋体"/>
        </w:rPr>
      </w:pPr>
      <w:r>
        <w:rPr>
          <w:rFonts w:eastAsia="宋体"/>
        </w:rPr>
        <w:t>用75%乙醇对试剂瓶表面进行擦拭消毒，在超净工作台内打开试剂瓶；</w:t>
      </w:r>
    </w:p>
    <w:p>
      <w:pPr>
        <w:pStyle w:val="13"/>
        <w:numPr>
          <w:ilvl w:val="0"/>
          <w:numId w:val="3"/>
        </w:numPr>
        <w:ind w:firstLineChars="0"/>
        <w:rPr>
          <w:rFonts w:eastAsia="宋体"/>
        </w:rPr>
      </w:pPr>
      <w:r>
        <w:rPr>
          <w:rFonts w:eastAsia="宋体"/>
        </w:rPr>
        <w:t>用移液管轻轻吹打细胞2次，转移50ml细胞悬液于规格为250ml的摇瓶中</w:t>
      </w:r>
      <w:r>
        <w:rPr>
          <w:rFonts w:hint="eastAsia" w:eastAsia="宋体"/>
          <w:b/>
          <w:bCs/>
        </w:rPr>
        <w:t>（请勿大力吹打，除</w:t>
      </w:r>
      <w:r>
        <w:rPr>
          <w:rFonts w:eastAsia="宋体"/>
          <w:b/>
          <w:bCs/>
        </w:rPr>
        <w:t>HEK293-ATM</w:t>
      </w:r>
      <w:r>
        <w:rPr>
          <w:rFonts w:hint="eastAsia" w:eastAsia="宋体"/>
          <w:b/>
          <w:bCs/>
        </w:rPr>
        <w:t>细胞外，其他常温寄送细胞无需离心换液）</w:t>
      </w:r>
      <w:r>
        <w:rPr>
          <w:rFonts w:eastAsia="宋体"/>
        </w:rPr>
        <w:t>；</w:t>
      </w:r>
    </w:p>
    <w:p>
      <w:pPr>
        <w:pStyle w:val="13"/>
        <w:numPr>
          <w:ilvl w:val="0"/>
          <w:numId w:val="3"/>
        </w:numPr>
        <w:ind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常温寄送的</w:t>
      </w:r>
      <w:r>
        <w:rPr>
          <w:rFonts w:eastAsia="宋体"/>
          <w:b/>
          <w:bCs/>
        </w:rPr>
        <w:t>HEK293-ATM</w:t>
      </w:r>
      <w:r>
        <w:rPr>
          <w:rFonts w:hint="eastAsia" w:eastAsia="宋体"/>
          <w:b/>
          <w:bCs/>
        </w:rPr>
        <w:t>细胞，</w:t>
      </w:r>
      <w:r>
        <w:rPr>
          <w:rFonts w:eastAsia="宋体"/>
          <w:b/>
          <w:bCs/>
        </w:rPr>
        <w:t>800rpm</w:t>
      </w:r>
      <w:r>
        <w:rPr>
          <w:rFonts w:hint="eastAsia" w:eastAsia="宋体"/>
          <w:b/>
          <w:bCs/>
        </w:rPr>
        <w:t>离心</w:t>
      </w:r>
      <w:r>
        <w:rPr>
          <w:rFonts w:eastAsia="宋体"/>
          <w:b/>
          <w:bCs/>
        </w:rPr>
        <w:t>5min</w:t>
      </w:r>
      <w:r>
        <w:rPr>
          <w:rFonts w:hint="eastAsia" w:eastAsia="宋体"/>
          <w:b/>
          <w:bCs/>
        </w:rPr>
        <w:t>后弃掉上清，补加</w:t>
      </w:r>
      <w:r>
        <w:rPr>
          <w:rFonts w:eastAsia="宋体"/>
          <w:b/>
          <w:bCs/>
        </w:rPr>
        <w:t>50ml</w:t>
      </w:r>
      <w:r>
        <w:rPr>
          <w:rFonts w:hint="eastAsia" w:eastAsia="宋体"/>
          <w:b/>
          <w:bCs/>
        </w:rPr>
        <w:t>的</w:t>
      </w:r>
      <w:r>
        <w:rPr>
          <w:rFonts w:eastAsia="宋体"/>
          <w:b/>
          <w:bCs/>
        </w:rPr>
        <w:t>KD293-ATM</w:t>
      </w:r>
      <w:r>
        <w:rPr>
          <w:rFonts w:hint="eastAsia" w:eastAsia="宋体"/>
          <w:b/>
          <w:bCs/>
        </w:rPr>
        <w:t>培养液置于</w:t>
      </w:r>
      <w:r>
        <w:rPr>
          <w:rFonts w:eastAsia="宋体"/>
          <w:b/>
          <w:bCs/>
        </w:rPr>
        <w:t>250ml</w:t>
      </w:r>
      <w:r>
        <w:rPr>
          <w:rFonts w:hint="eastAsia" w:eastAsia="宋体"/>
          <w:b/>
          <w:bCs/>
        </w:rPr>
        <w:t>摇瓶中，将摇瓶置于温度为</w:t>
      </w:r>
      <w:r>
        <w:rPr>
          <w:rFonts w:eastAsia="宋体"/>
          <w:b/>
          <w:bCs/>
        </w:rPr>
        <w:t>37</w:t>
      </w:r>
      <w:r>
        <w:rPr>
          <w:rFonts w:hint="eastAsia" w:eastAsia="宋体"/>
          <w:b/>
          <w:bCs/>
        </w:rPr>
        <w:t>℃、转速为</w:t>
      </w:r>
      <w:r>
        <w:rPr>
          <w:rFonts w:eastAsia="宋体"/>
          <w:b/>
          <w:bCs/>
        </w:rPr>
        <w:t>120rpm</w:t>
      </w:r>
      <w:r>
        <w:rPr>
          <w:rFonts w:hint="eastAsia" w:eastAsia="宋体"/>
          <w:b/>
          <w:bCs/>
        </w:rPr>
        <w:t>的无二氧化碳培养箱摇床中进行震荡悬浮培养；</w:t>
      </w:r>
    </w:p>
    <w:p>
      <w:pPr>
        <w:pStyle w:val="13"/>
        <w:numPr>
          <w:ilvl w:val="0"/>
          <w:numId w:val="3"/>
        </w:numPr>
        <w:ind w:firstLineChars="0"/>
        <w:rPr>
          <w:rFonts w:eastAsia="宋体"/>
        </w:rPr>
      </w:pPr>
      <w:r>
        <w:rPr>
          <w:rFonts w:hint="eastAsia" w:eastAsia="宋体"/>
          <w:b/>
          <w:bCs/>
        </w:rPr>
        <w:t>除</w:t>
      </w:r>
      <w:r>
        <w:rPr>
          <w:rFonts w:eastAsia="宋体"/>
          <w:b/>
          <w:bCs/>
        </w:rPr>
        <w:t>HEK293-ATM</w:t>
      </w:r>
      <w:r>
        <w:rPr>
          <w:rFonts w:hint="eastAsia" w:eastAsia="宋体"/>
          <w:b/>
          <w:bCs/>
        </w:rPr>
        <w:t>细胞外</w:t>
      </w:r>
      <w:r>
        <w:rPr>
          <w:rFonts w:hint="eastAsia" w:eastAsia="宋体"/>
        </w:rPr>
        <w:t>，其他常温寄送细胞</w:t>
      </w:r>
      <w:r>
        <w:rPr>
          <w:rFonts w:eastAsia="宋体"/>
        </w:rPr>
        <w:t>将摇瓶置于CO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>浓度为5%、转速为120rpm、温度为37℃的二氧化碳培养箱摇床中进行震荡悬浮培养。</w:t>
      </w:r>
    </w:p>
    <w:p>
      <w:pPr>
        <w:pStyle w:val="13"/>
        <w:numPr>
          <w:ilvl w:val="0"/>
          <w:numId w:val="2"/>
        </w:numPr>
        <w:ind w:left="0" w:firstLine="0" w:firstLineChars="0"/>
        <w:rPr>
          <w:rFonts w:eastAsia="宋体"/>
        </w:rPr>
      </w:pPr>
      <w:r>
        <w:rPr>
          <w:rFonts w:eastAsia="宋体"/>
        </w:rPr>
        <w:t>对试剂瓶中剩余的细胞进行分析，记录细胞的密度和活率；</w:t>
      </w:r>
    </w:p>
    <w:p>
      <w:pPr>
        <w:pStyle w:val="13"/>
        <w:numPr>
          <w:ilvl w:val="0"/>
          <w:numId w:val="2"/>
        </w:numPr>
        <w:ind w:left="0" w:firstLine="0" w:firstLineChars="0"/>
        <w:rPr>
          <w:rFonts w:eastAsia="宋体"/>
        </w:rPr>
      </w:pPr>
      <w:r>
        <w:rPr>
          <w:rFonts w:eastAsia="宋体"/>
        </w:rPr>
        <w:t>接种后3天对细胞进行计数，观察细胞密度和存活率是否上升，若细胞密度达到3-6×10</w:t>
      </w:r>
      <w:r>
        <w:rPr>
          <w:rFonts w:eastAsia="宋体"/>
          <w:vertAlign w:val="superscript"/>
        </w:rPr>
        <w:t>6</w:t>
      </w:r>
      <w:r>
        <w:rPr>
          <w:rFonts w:hint="eastAsia" w:eastAsia="宋体"/>
          <w:vertAlign w:val="superscript"/>
        </w:rPr>
        <w:t xml:space="preserve"> </w:t>
      </w:r>
      <w:r>
        <w:rPr>
          <w:rFonts w:hint="eastAsia" w:eastAsia="宋体"/>
        </w:rPr>
        <w:t>cells</w:t>
      </w:r>
      <w:r>
        <w:rPr>
          <w:rFonts w:eastAsia="宋体"/>
        </w:rPr>
        <w:t>/</w:t>
      </w:r>
      <w:r>
        <w:rPr>
          <w:rFonts w:hint="eastAsia" w:eastAsia="宋体"/>
        </w:rPr>
        <w:t>ml</w:t>
      </w:r>
      <w:r>
        <w:rPr>
          <w:rFonts w:eastAsia="宋体"/>
        </w:rPr>
        <w:t>，可</w:t>
      </w:r>
      <w:r>
        <w:rPr>
          <w:rFonts w:hint="eastAsia" w:eastAsia="宋体"/>
        </w:rPr>
        <w:t>用新鲜培养液直接稀释细胞</w:t>
      </w:r>
      <w:r>
        <w:rPr>
          <w:rFonts w:eastAsia="宋体"/>
        </w:rPr>
        <w:t>进行传代</w:t>
      </w:r>
      <w:r>
        <w:rPr>
          <w:rFonts w:hint="eastAsia" w:eastAsia="宋体"/>
        </w:rPr>
        <w:t>培养</w:t>
      </w:r>
      <w:r>
        <w:rPr>
          <w:rFonts w:eastAsia="宋体"/>
        </w:rPr>
        <w:t>，传代密度为</w:t>
      </w:r>
      <w:r>
        <w:rPr>
          <w:rFonts w:hint="eastAsia" w:eastAsia="宋体"/>
        </w:rPr>
        <w:t>0</w:t>
      </w:r>
      <w:r>
        <w:rPr>
          <w:rFonts w:eastAsia="宋体"/>
        </w:rPr>
        <w:t>.3-0.6×10</w:t>
      </w:r>
      <w:r>
        <w:rPr>
          <w:rFonts w:eastAsia="宋体"/>
          <w:vertAlign w:val="superscript"/>
        </w:rPr>
        <w:t>6</w:t>
      </w:r>
      <w:r>
        <w:rPr>
          <w:rFonts w:hint="eastAsia" w:eastAsia="宋体"/>
          <w:vertAlign w:val="superscript"/>
        </w:rPr>
        <w:t xml:space="preserve"> </w:t>
      </w:r>
      <w:r>
        <w:rPr>
          <w:rFonts w:hint="eastAsia" w:eastAsia="宋体"/>
        </w:rPr>
        <w:t>cells</w:t>
      </w:r>
      <w:r>
        <w:rPr>
          <w:rFonts w:eastAsia="宋体"/>
        </w:rPr>
        <w:t>/</w:t>
      </w:r>
      <w:r>
        <w:rPr>
          <w:rFonts w:hint="eastAsia" w:eastAsia="宋体"/>
        </w:rPr>
        <w:t>ml。尽量避免将细胞培养至超过6</w:t>
      </w:r>
      <w:r>
        <w:rPr>
          <w:rFonts w:eastAsia="宋体"/>
        </w:rPr>
        <w:t>×10</w:t>
      </w:r>
      <w:r>
        <w:rPr>
          <w:rFonts w:eastAsia="宋体"/>
          <w:vertAlign w:val="superscript"/>
        </w:rPr>
        <w:t>6</w:t>
      </w:r>
      <w:r>
        <w:rPr>
          <w:rFonts w:hint="eastAsia" w:eastAsia="宋体"/>
        </w:rPr>
        <w:t xml:space="preserve"> cells</w:t>
      </w:r>
      <w:r>
        <w:rPr>
          <w:rFonts w:eastAsia="宋体"/>
        </w:rPr>
        <w:t>/</w:t>
      </w:r>
      <w:r>
        <w:rPr>
          <w:rFonts w:hint="eastAsia" w:eastAsia="宋体"/>
        </w:rPr>
        <w:t>ml密度时再进行传代培养，以免影响细胞的正常生长状态和降低重组蛋白的表达效率。</w:t>
      </w:r>
    </w:p>
    <w:p>
      <w:pPr>
        <w:pStyle w:val="13"/>
        <w:numPr>
          <w:ilvl w:val="0"/>
          <w:numId w:val="2"/>
        </w:numPr>
        <w:ind w:left="0" w:firstLine="0" w:firstLineChars="0"/>
        <w:rPr>
          <w:rFonts w:eastAsia="宋体"/>
        </w:rPr>
      </w:pPr>
      <w:r>
        <w:rPr>
          <w:rFonts w:eastAsia="宋体"/>
        </w:rPr>
        <w:t>细胞密度和活率恢复后应及时对细胞进行冻存，</w:t>
      </w:r>
      <w:r>
        <w:rPr>
          <w:rFonts w:eastAsia="宋体"/>
          <w:b/>
        </w:rPr>
        <w:t>具体方法请参考</w:t>
      </w:r>
      <w:r>
        <w:rPr>
          <w:rFonts w:hint="eastAsia" w:eastAsia="宋体"/>
          <w:b/>
        </w:rPr>
        <w:t>“珠海恺瑞产品</w:t>
      </w:r>
      <w:r>
        <w:rPr>
          <w:rFonts w:eastAsia="宋体"/>
          <w:b/>
        </w:rPr>
        <w:t>使用</w:t>
      </w:r>
      <w:r>
        <w:rPr>
          <w:rFonts w:hint="eastAsia" w:eastAsia="宋体"/>
          <w:b/>
        </w:rPr>
        <w:t>指南”</w:t>
      </w:r>
      <w:r>
        <w:rPr>
          <w:rFonts w:eastAsia="宋体"/>
        </w:rPr>
        <w:t>。</w:t>
      </w:r>
    </w:p>
    <w:p>
      <w:pPr>
        <w:pStyle w:val="13"/>
        <w:numPr>
          <w:ilvl w:val="255"/>
          <w:numId w:val="0"/>
        </w:numPr>
        <w:rPr>
          <w:rFonts w:eastAsia="宋体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373677"/>
    </w:sdtPr>
    <w:sdtContent>
      <w:sdt>
        <w:sdtPr>
          <w:id w:val="-1769616900"/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  <w:r>
      <w:t>www.kairuibiotech.com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/>
      </w:rPr>
      <w:drawing>
        <wp:inline distT="0" distB="0" distL="114300" distR="114300">
          <wp:extent cx="924560" cy="318770"/>
          <wp:effectExtent l="0" t="0" r="0" b="4445"/>
          <wp:docPr id="3" name="图片 3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  <w:r>
      <w:t xml:space="preserve">                                                                                 </w:t>
    </w:r>
    <w:r>
      <w:rPr>
        <w:rFonts w:hint="eastAsia"/>
      </w:rPr>
      <w:t xml:space="preserve">                                       </w:t>
    </w:r>
    <w:r>
      <w:t xml:space="preserve">        </w:t>
    </w:r>
    <w:r>
      <w:rPr>
        <w:rFonts w:hint="eastAsia"/>
      </w:rPr>
      <w:t>Tel：0756-363118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D1D67"/>
    <w:multiLevelType w:val="multilevel"/>
    <w:tmpl w:val="28BD1D67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66348A"/>
    <w:multiLevelType w:val="multilevel"/>
    <w:tmpl w:val="6966348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7097B"/>
    <w:multiLevelType w:val="multilevel"/>
    <w:tmpl w:val="6C67097B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ZmQzNmZmMmJjODY2M2YxOWRjMjU0YjAwMmY0MzgifQ=="/>
  </w:docVars>
  <w:rsids>
    <w:rsidRoot w:val="00D31D50"/>
    <w:rsid w:val="0006785B"/>
    <w:rsid w:val="0018538C"/>
    <w:rsid w:val="00323B43"/>
    <w:rsid w:val="003456B5"/>
    <w:rsid w:val="003D37D8"/>
    <w:rsid w:val="00413A98"/>
    <w:rsid w:val="00426133"/>
    <w:rsid w:val="004358AB"/>
    <w:rsid w:val="004820DA"/>
    <w:rsid w:val="004F3CB0"/>
    <w:rsid w:val="00563F11"/>
    <w:rsid w:val="00594141"/>
    <w:rsid w:val="005C141C"/>
    <w:rsid w:val="00641FE7"/>
    <w:rsid w:val="00664434"/>
    <w:rsid w:val="00665B66"/>
    <w:rsid w:val="00677306"/>
    <w:rsid w:val="006961AC"/>
    <w:rsid w:val="006D25ED"/>
    <w:rsid w:val="00710CCB"/>
    <w:rsid w:val="007F6341"/>
    <w:rsid w:val="008B7726"/>
    <w:rsid w:val="00926330"/>
    <w:rsid w:val="00A2103E"/>
    <w:rsid w:val="00A426A4"/>
    <w:rsid w:val="00A446B2"/>
    <w:rsid w:val="00A6214D"/>
    <w:rsid w:val="00A95200"/>
    <w:rsid w:val="00C15A19"/>
    <w:rsid w:val="00C31DC1"/>
    <w:rsid w:val="00C37216"/>
    <w:rsid w:val="00C76F26"/>
    <w:rsid w:val="00CB7167"/>
    <w:rsid w:val="00CC12AF"/>
    <w:rsid w:val="00D268D4"/>
    <w:rsid w:val="00D31D50"/>
    <w:rsid w:val="00E02041"/>
    <w:rsid w:val="098505DF"/>
    <w:rsid w:val="0F4470B9"/>
    <w:rsid w:val="2B0A5102"/>
    <w:rsid w:val="3EAB41B0"/>
    <w:rsid w:val="4DB155BA"/>
    <w:rsid w:val="579C2099"/>
    <w:rsid w:val="66C20D7E"/>
    <w:rsid w:val="677D0C4F"/>
    <w:rsid w:val="6D4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100" w:beforeLines="10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table" w:styleId="9">
    <w:name w:val="Table Grid"/>
    <w:basedOn w:val="8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eastAsiaTheme="minorEastAsia"/>
    </w:rPr>
  </w:style>
  <w:style w:type="character" w:customStyle="1" w:styleId="14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字符"/>
    <w:basedOn w:val="10"/>
    <w:link w:val="7"/>
    <w:autoRedefine/>
    <w:qFormat/>
    <w:uiPriority w:val="10"/>
    <w:rPr>
      <w:rFonts w:asciiTheme="majorHAnsi" w:hAnsiTheme="majorHAnsi" w:cstheme="majorBidi"/>
      <w:b/>
      <w:bCs/>
      <w:sz w:val="36"/>
      <w:szCs w:val="32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="Tahoma" w:hAnsi="Tahoma" w:cstheme="minorBidi"/>
      <w:b/>
      <w:bCs/>
      <w:kern w:val="44"/>
      <w:sz w:val="28"/>
      <w:szCs w:val="44"/>
    </w:rPr>
  </w:style>
  <w:style w:type="paragraph" w:customStyle="1" w:styleId="18">
    <w:name w:val="Revision"/>
    <w:hidden/>
    <w:semiHidden/>
    <w:uiPriority w:val="99"/>
    <w:rPr>
      <w:rFonts w:ascii="Times New Roman" w:hAnsi="Times New Roman" w:eastAsia="宋体" w:cstheme="minorBid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1514</Characters>
  <Lines>12</Lines>
  <Paragraphs>3</Paragraphs>
  <TotalTime>1</TotalTime>
  <ScaleCrop>false</ScaleCrop>
  <LinksUpToDate>false</LinksUpToDate>
  <CharactersWithSpaces>1776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2023-10-12T01:27:00Z</dcterms:created>
  <dc:creator>Administrator</dc:creator>
  <cp:lastModifiedBy>麟柘</cp:lastModifiedBy>
  <cp:lastPrinted>2023-10-12T01:27:00Z</cp:lastPrinted>
  <dcterms:modified xsi:type="dcterms:W3CDTF">2024-03-12T06:57:26Z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F1ACC33461894C43804A358C85C7CFCA_12</vt:lpwstr>
  </property>
</Properties>
</file>