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D98" w:rsidRDefault="00000000">
      <w:pPr>
        <w:pStyle w:val="a8"/>
        <w:spacing w:before="156" w:after="156"/>
        <w:rPr>
          <w:rFonts w:eastAsia="宋体"/>
          <w:sz w:val="30"/>
          <w:szCs w:val="30"/>
        </w:rPr>
      </w:pPr>
      <w:r>
        <w:rPr>
          <w:rFonts w:eastAsia="宋体" w:hint="eastAsia"/>
          <w:sz w:val="30"/>
          <w:szCs w:val="30"/>
        </w:rPr>
        <w:t>杂交瘤促生长组合因子使用指南</w:t>
      </w:r>
      <w:r>
        <w:rPr>
          <w:rFonts w:eastAsia="宋体" w:hint="eastAsia"/>
          <w:sz w:val="30"/>
          <w:szCs w:val="30"/>
        </w:rPr>
        <w:t>KD-</w:t>
      </w:r>
      <w:proofErr w:type="spellStart"/>
      <w:r>
        <w:rPr>
          <w:rFonts w:eastAsia="宋体" w:hint="eastAsia"/>
          <w:sz w:val="30"/>
          <w:szCs w:val="30"/>
        </w:rPr>
        <w:t>HybriGro</w:t>
      </w:r>
      <w:proofErr w:type="spellEnd"/>
      <w:r>
        <w:rPr>
          <w:rFonts w:eastAsia="宋体" w:hint="eastAsia"/>
          <w:sz w:val="30"/>
          <w:szCs w:val="30"/>
        </w:rPr>
        <w:t>（</w:t>
      </w:r>
      <w:r>
        <w:rPr>
          <w:rFonts w:eastAsia="宋体" w:hint="eastAsia"/>
          <w:sz w:val="30"/>
          <w:szCs w:val="30"/>
        </w:rPr>
        <w:t>1.3</w:t>
      </w:r>
      <w:r>
        <w:rPr>
          <w:rFonts w:eastAsia="宋体" w:hint="eastAsia"/>
          <w:sz w:val="30"/>
          <w:szCs w:val="30"/>
        </w:rPr>
        <w:t>版）</w:t>
      </w:r>
    </w:p>
    <w:p w:rsidR="00992D98" w:rsidRDefault="00000000">
      <w:pPr>
        <w:pStyle w:val="1"/>
        <w:numPr>
          <w:ilvl w:val="0"/>
          <w:numId w:val="1"/>
        </w:numPr>
        <w:rPr>
          <w:rFonts w:eastAsia="宋体"/>
        </w:rPr>
      </w:pPr>
      <w:r>
        <w:rPr>
          <w:rFonts w:eastAsia="宋体"/>
        </w:rPr>
        <w:t>产品概述</w:t>
      </w:r>
    </w:p>
    <w:p w:rsidR="00992D98" w:rsidRDefault="00000000">
      <w:pPr>
        <w:ind w:firstLineChars="200" w:firstLine="480"/>
        <w:rPr>
          <w:rFonts w:eastAsia="宋体"/>
        </w:rPr>
      </w:pPr>
      <w:r>
        <w:rPr>
          <w:rFonts w:eastAsia="宋体" w:hint="eastAsia"/>
        </w:rPr>
        <w:t>珠海恺瑞自主研发</w:t>
      </w:r>
      <w:r>
        <w:rPr>
          <w:rFonts w:eastAsia="宋体" w:hint="eastAsia"/>
          <w:b/>
          <w:bCs/>
        </w:rPr>
        <w:t>KD-</w:t>
      </w:r>
      <w:proofErr w:type="spellStart"/>
      <w:r>
        <w:rPr>
          <w:rFonts w:eastAsia="宋体" w:hint="eastAsia"/>
          <w:b/>
          <w:bCs/>
        </w:rPr>
        <w:t>HybriGro</w:t>
      </w:r>
      <w:proofErr w:type="spellEnd"/>
      <w:r>
        <w:rPr>
          <w:rFonts w:eastAsia="宋体" w:hint="eastAsia"/>
        </w:rPr>
        <w:t>为杂交瘤促生长组合因子，可有效促进杂交瘤细胞单株生长，提高存活率，明显增强克隆细胞的生长，有效提高杂交瘤细胞克隆生长率。</w:t>
      </w:r>
    </w:p>
    <w:p w:rsidR="00992D98" w:rsidRDefault="00000000">
      <w:pPr>
        <w:ind w:firstLineChars="200" w:firstLine="480"/>
        <w:rPr>
          <w:rFonts w:eastAsia="宋体"/>
        </w:rPr>
      </w:pPr>
      <w:r>
        <w:rPr>
          <w:rFonts w:eastAsia="宋体" w:hint="eastAsia"/>
        </w:rPr>
        <w:t>杂交瘤细胞生长及表达具有一定的不稳定性，传代多次有丢失阳性克隆株的风险，在细胞长期培养前进行多次亚克隆可筛选出更稳定表达阳性抗体的克隆株，不易丢失抗性。</w:t>
      </w:r>
      <w:r>
        <w:rPr>
          <w:rFonts w:eastAsia="宋体" w:hint="eastAsia"/>
          <w:b/>
          <w:bCs/>
        </w:rPr>
        <w:t>KD-</w:t>
      </w:r>
      <w:proofErr w:type="spellStart"/>
      <w:r>
        <w:rPr>
          <w:rFonts w:eastAsia="宋体" w:hint="eastAsia"/>
          <w:b/>
          <w:bCs/>
        </w:rPr>
        <w:t>HybriGro</w:t>
      </w:r>
      <w:proofErr w:type="spellEnd"/>
      <w:r>
        <w:rPr>
          <w:rFonts w:eastAsia="宋体" w:hint="eastAsia"/>
        </w:rPr>
        <w:t>可明显提高杂交瘤亚克隆成功率，促进细胞生长，提高亚克隆细胞无血清培养适应能力。</w:t>
      </w:r>
    </w:p>
    <w:p w:rsidR="00992D98" w:rsidRDefault="00000000">
      <w:pPr>
        <w:ind w:firstLineChars="200" w:firstLine="482"/>
        <w:rPr>
          <w:rFonts w:eastAsia="宋体"/>
        </w:rPr>
      </w:pPr>
      <w:r>
        <w:rPr>
          <w:rFonts w:eastAsia="宋体" w:hint="eastAsia"/>
          <w:b/>
          <w:bCs/>
        </w:rPr>
        <w:t>KD-</w:t>
      </w:r>
      <w:proofErr w:type="spellStart"/>
      <w:r>
        <w:rPr>
          <w:rFonts w:eastAsia="宋体" w:hint="eastAsia"/>
          <w:b/>
          <w:bCs/>
        </w:rPr>
        <w:t>HybriGro</w:t>
      </w:r>
      <w:proofErr w:type="spellEnd"/>
      <w:r>
        <w:rPr>
          <w:rFonts w:eastAsia="宋体" w:hint="eastAsia"/>
        </w:rPr>
        <w:t>可应用</w:t>
      </w:r>
      <w:r>
        <w:rPr>
          <w:rFonts w:eastAsia="宋体"/>
        </w:rPr>
        <w:t>于</w:t>
      </w:r>
      <w:r>
        <w:rPr>
          <w:rFonts w:eastAsia="宋体" w:hint="eastAsia"/>
        </w:rPr>
        <w:t>杂交瘤</w:t>
      </w:r>
      <w:r>
        <w:rPr>
          <w:rFonts w:eastAsia="宋体"/>
        </w:rPr>
        <w:t>细胞</w:t>
      </w:r>
      <w:r>
        <w:rPr>
          <w:rFonts w:eastAsia="宋体" w:hint="eastAsia"/>
        </w:rPr>
        <w:t>融合制备后的细胞培养、单克隆细胞的制备和</w:t>
      </w:r>
      <w:r>
        <w:rPr>
          <w:rFonts w:eastAsia="宋体"/>
        </w:rPr>
        <w:t>高密度</w:t>
      </w:r>
      <w:r>
        <w:rPr>
          <w:rFonts w:eastAsia="宋体" w:hint="eastAsia"/>
        </w:rPr>
        <w:t>无血清</w:t>
      </w:r>
      <w:r>
        <w:rPr>
          <w:rFonts w:eastAsia="宋体"/>
        </w:rPr>
        <w:t>悬浮培养</w:t>
      </w:r>
      <w:r>
        <w:rPr>
          <w:rFonts w:eastAsia="宋体" w:hint="eastAsia"/>
        </w:rPr>
        <w:t>单克隆抗体生产等</w:t>
      </w:r>
      <w:r>
        <w:rPr>
          <w:rFonts w:eastAsia="宋体"/>
        </w:rPr>
        <w:t>。</w:t>
      </w:r>
    </w:p>
    <w:p w:rsidR="00992D98" w:rsidRDefault="00000000">
      <w:pPr>
        <w:rPr>
          <w:rFonts w:eastAsia="宋体"/>
        </w:rPr>
      </w:pPr>
      <w:r>
        <w:rPr>
          <w:rFonts w:eastAsia="宋体" w:hint="eastAsia"/>
        </w:rPr>
        <w:t>珠海恺瑞杂交瘤促生长克隆培养系统包括下列试剂：</w:t>
      </w:r>
    </w:p>
    <w:p w:rsidR="00992D98" w:rsidRDefault="00000000">
      <w:pPr>
        <w:pStyle w:val="ab"/>
        <w:numPr>
          <w:ilvl w:val="0"/>
          <w:numId w:val="2"/>
        </w:numPr>
        <w:ind w:firstLineChars="0"/>
        <w:rPr>
          <w:rFonts w:eastAsia="宋体"/>
        </w:rPr>
      </w:pPr>
      <w:r>
        <w:rPr>
          <w:rFonts w:eastAsia="宋体" w:cs="Times New Roman"/>
        </w:rPr>
        <w:t>KD-Clone</w:t>
      </w:r>
      <w:r>
        <w:rPr>
          <w:rFonts w:eastAsia="宋体" w:hint="eastAsia"/>
        </w:rPr>
        <w:t>（</w:t>
      </w:r>
      <w:r>
        <w:rPr>
          <w:rFonts w:eastAsia="宋体" w:hint="eastAsia"/>
        </w:rPr>
        <w:t>K07001</w:t>
      </w:r>
      <w:r>
        <w:rPr>
          <w:rFonts w:eastAsia="宋体" w:hint="eastAsia"/>
        </w:rPr>
        <w:t>）：哺乳动物细胞单细胞培养液</w:t>
      </w:r>
    </w:p>
    <w:p w:rsidR="00992D98" w:rsidRDefault="00000000">
      <w:pPr>
        <w:pStyle w:val="ab"/>
        <w:numPr>
          <w:ilvl w:val="0"/>
          <w:numId w:val="2"/>
        </w:numPr>
        <w:ind w:firstLineChars="0"/>
        <w:rPr>
          <w:rFonts w:eastAsia="宋体"/>
        </w:rPr>
      </w:pPr>
      <w:r>
        <w:rPr>
          <w:rFonts w:eastAsia="宋体" w:hint="eastAsia"/>
          <w:b/>
          <w:bCs/>
        </w:rPr>
        <w:t>KD-</w:t>
      </w:r>
      <w:proofErr w:type="spellStart"/>
      <w:r>
        <w:rPr>
          <w:rFonts w:eastAsia="宋体" w:hint="eastAsia"/>
          <w:b/>
          <w:bCs/>
        </w:rPr>
        <w:t>HybriGro</w:t>
      </w:r>
      <w:proofErr w:type="spellEnd"/>
      <w:r>
        <w:rPr>
          <w:rFonts w:eastAsia="宋体" w:hint="eastAsia"/>
        </w:rPr>
        <w:t>（</w:t>
      </w:r>
      <w:r>
        <w:rPr>
          <w:rFonts w:eastAsia="宋体" w:hint="eastAsia"/>
        </w:rPr>
        <w:t>K50002</w:t>
      </w:r>
      <w:r>
        <w:rPr>
          <w:rFonts w:eastAsia="宋体" w:hint="eastAsia"/>
        </w:rPr>
        <w:t>）：杂交瘤促生长组合因子</w:t>
      </w:r>
      <w:r>
        <w:rPr>
          <w:rFonts w:eastAsia="宋体" w:hint="eastAsia"/>
        </w:rPr>
        <w:t xml:space="preserve"> (100X)</w:t>
      </w:r>
    </w:p>
    <w:p w:rsidR="00992D98" w:rsidRDefault="00000000">
      <w:pPr>
        <w:pStyle w:val="ab"/>
        <w:numPr>
          <w:ilvl w:val="0"/>
          <w:numId w:val="2"/>
        </w:numPr>
        <w:ind w:firstLineChars="0"/>
        <w:rPr>
          <w:rFonts w:eastAsia="宋体"/>
        </w:rPr>
      </w:pPr>
      <w:r>
        <w:rPr>
          <w:rFonts w:eastAsia="宋体" w:cs="Times New Roman" w:hint="eastAsia"/>
        </w:rPr>
        <w:t>FBS</w:t>
      </w:r>
      <w:r>
        <w:rPr>
          <w:rFonts w:eastAsia="宋体" w:cs="Times New Roman" w:hint="eastAsia"/>
        </w:rPr>
        <w:t>（</w:t>
      </w:r>
      <w:r>
        <w:rPr>
          <w:rFonts w:eastAsia="宋体" w:hint="eastAsia"/>
        </w:rPr>
        <w:t>R01100</w:t>
      </w:r>
      <w:r>
        <w:rPr>
          <w:rFonts w:eastAsia="宋体" w:hint="eastAsia"/>
        </w:rPr>
        <w:t>）：胎牛血清（杂交瘤培养质量认证批次）</w:t>
      </w:r>
    </w:p>
    <w:p w:rsidR="00992D98" w:rsidRDefault="00000000">
      <w:pPr>
        <w:rPr>
          <w:rFonts w:eastAsia="宋体"/>
          <w:highlight w:val="yellow"/>
        </w:rPr>
      </w:pPr>
      <w:r>
        <w:rPr>
          <w:rFonts w:eastAsia="宋体" w:hint="eastAsia"/>
        </w:rPr>
        <w:t>完全培养基的配制：</w:t>
      </w:r>
      <w:r>
        <w:rPr>
          <w:rFonts w:eastAsia="宋体" w:cs="Times New Roman" w:hint="eastAsia"/>
        </w:rPr>
        <w:t>KD</w:t>
      </w:r>
      <w:r>
        <w:rPr>
          <w:rFonts w:eastAsia="宋体" w:cs="Times New Roman"/>
        </w:rPr>
        <w:t>-</w:t>
      </w:r>
      <w:r>
        <w:rPr>
          <w:rFonts w:eastAsia="宋体" w:cs="Times New Roman" w:hint="eastAsia"/>
        </w:rPr>
        <w:t>Clone</w:t>
      </w:r>
      <w:r>
        <w:rPr>
          <w:rFonts w:eastAsia="宋体" w:cs="Times New Roman" w:hint="eastAsia"/>
        </w:rPr>
        <w:t>，</w:t>
      </w:r>
      <w:r>
        <w:rPr>
          <w:rFonts w:eastAsia="宋体" w:cs="Times New Roman" w:hint="eastAsia"/>
        </w:rPr>
        <w:t>KD-</w:t>
      </w:r>
      <w:proofErr w:type="spellStart"/>
      <w:r>
        <w:rPr>
          <w:rFonts w:eastAsia="宋体" w:cs="Times New Roman" w:hint="eastAsia"/>
        </w:rPr>
        <w:t>HybriGro</w:t>
      </w:r>
      <w:proofErr w:type="spellEnd"/>
      <w:r>
        <w:rPr>
          <w:rFonts w:eastAsia="宋体" w:hint="eastAsia"/>
        </w:rPr>
        <w:t>（</w:t>
      </w:r>
      <w:r>
        <w:rPr>
          <w:rFonts w:eastAsia="宋体" w:hint="eastAsia"/>
        </w:rPr>
        <w:t>100X</w:t>
      </w:r>
      <w:r>
        <w:rPr>
          <w:rFonts w:eastAsia="宋体" w:hint="eastAsia"/>
        </w:rPr>
        <w:t>），</w:t>
      </w:r>
      <w:r>
        <w:rPr>
          <w:rFonts w:eastAsia="宋体" w:hint="eastAsia"/>
        </w:rPr>
        <w:t>1%FBS(</w:t>
      </w:r>
      <w:r>
        <w:rPr>
          <w:rFonts w:eastAsia="宋体" w:hint="eastAsia"/>
        </w:rPr>
        <w:t>选择使用）</w:t>
      </w:r>
    </w:p>
    <w:p w:rsidR="00992D98" w:rsidRDefault="00000000">
      <w:pPr>
        <w:rPr>
          <w:rFonts w:eastAsia="宋体"/>
        </w:rPr>
      </w:pPr>
      <w:r>
        <w:rPr>
          <w:rFonts w:eastAsia="宋体" w:hint="eastAsia"/>
        </w:rPr>
        <w:t>实验所需</w:t>
      </w:r>
      <w:r>
        <w:rPr>
          <w:rFonts w:eastAsia="宋体" w:cs="Times New Roman" w:hint="eastAsia"/>
        </w:rPr>
        <w:t>设备</w:t>
      </w:r>
      <w:r>
        <w:rPr>
          <w:rFonts w:eastAsia="宋体" w:hint="eastAsia"/>
        </w:rPr>
        <w:t>：生物安全柜、离心机、倒置相差显微镜，二氧化碳静置培养箱（</w:t>
      </w:r>
      <w:r>
        <w:rPr>
          <w:rFonts w:eastAsia="宋体" w:cs="Times New Roman" w:hint="eastAsia"/>
        </w:rPr>
        <w:t>3</w:t>
      </w:r>
      <w:r>
        <w:rPr>
          <w:rFonts w:eastAsia="宋体" w:cs="Times New Roman"/>
        </w:rPr>
        <w:t>7</w:t>
      </w:r>
      <w:r>
        <w:rPr>
          <w:rFonts w:eastAsia="宋体" w:cs="Times New Roman" w:hint="eastAsia"/>
        </w:rPr>
        <w:t>℃，</w:t>
      </w:r>
      <w:r>
        <w:rPr>
          <w:rFonts w:eastAsia="宋体" w:cs="Times New Roman" w:hint="eastAsia"/>
        </w:rPr>
        <w:t>5%CO</w:t>
      </w:r>
      <w:r>
        <w:rPr>
          <w:rFonts w:eastAsia="宋体" w:cs="Times New Roman" w:hint="eastAsia"/>
          <w:vertAlign w:val="subscript"/>
        </w:rPr>
        <w:t>2</w:t>
      </w:r>
      <w:r>
        <w:rPr>
          <w:rFonts w:eastAsia="宋体" w:hint="eastAsia"/>
        </w:rPr>
        <w:t>）</w:t>
      </w:r>
    </w:p>
    <w:p w:rsidR="00992D98" w:rsidRDefault="00000000">
      <w:pPr>
        <w:rPr>
          <w:rFonts w:eastAsia="宋体"/>
          <w:b/>
        </w:rPr>
      </w:pPr>
      <w:r>
        <w:rPr>
          <w:rFonts w:eastAsia="宋体" w:hint="eastAsia"/>
          <w:b/>
        </w:rPr>
        <w:t>为确保使用效果，建议用户在使用本系统前详细阅读此使用指南。</w:t>
      </w:r>
    </w:p>
    <w:p w:rsidR="00992D98" w:rsidRDefault="00000000">
      <w:pPr>
        <w:rPr>
          <w:rFonts w:eastAsia="宋体"/>
          <w:b/>
        </w:rPr>
      </w:pPr>
      <w:r>
        <w:rPr>
          <w:rFonts w:eastAsia="宋体" w:hint="eastAsia"/>
          <w:b/>
        </w:rPr>
        <w:t>细胞培养基使用保存注意事项：</w:t>
      </w:r>
    </w:p>
    <w:p w:rsidR="00992D98" w:rsidRDefault="00000000" w:rsidP="00DB2132">
      <w:pPr>
        <w:numPr>
          <w:ilvl w:val="0"/>
          <w:numId w:val="3"/>
        </w:numPr>
        <w:rPr>
          <w:rFonts w:eastAsia="宋体"/>
          <w:b/>
        </w:rPr>
      </w:pPr>
      <w:r>
        <w:rPr>
          <w:rFonts w:eastAsia="宋体" w:hint="eastAsia"/>
          <w:b/>
        </w:rPr>
        <w:t>切勿紫外照射；</w:t>
      </w:r>
    </w:p>
    <w:p w:rsidR="00992D98" w:rsidRDefault="00000000" w:rsidP="00DB2132">
      <w:pPr>
        <w:numPr>
          <w:ilvl w:val="0"/>
          <w:numId w:val="3"/>
        </w:numPr>
        <w:rPr>
          <w:rFonts w:eastAsia="宋体"/>
          <w:b/>
        </w:rPr>
      </w:pPr>
      <w:r>
        <w:rPr>
          <w:rFonts w:eastAsia="宋体" w:hint="eastAsia"/>
          <w:b/>
        </w:rPr>
        <w:t>无需预热处理，可直接从冰箱取出使用；</w:t>
      </w:r>
    </w:p>
    <w:p w:rsidR="00992D98" w:rsidRDefault="00000000" w:rsidP="00DB2132">
      <w:pPr>
        <w:numPr>
          <w:ilvl w:val="0"/>
          <w:numId w:val="3"/>
        </w:numPr>
        <w:rPr>
          <w:rFonts w:eastAsia="宋体"/>
          <w:b/>
        </w:rPr>
      </w:pPr>
      <w:r>
        <w:rPr>
          <w:rFonts w:eastAsia="宋体" w:hint="eastAsia"/>
          <w:b/>
        </w:rPr>
        <w:t>储存细胞培养基时尽量使用医用冰箱，以确保恒温效果，切勿冷冻；</w:t>
      </w:r>
    </w:p>
    <w:p w:rsidR="00992D98" w:rsidRDefault="00000000" w:rsidP="00DB2132">
      <w:pPr>
        <w:numPr>
          <w:ilvl w:val="0"/>
          <w:numId w:val="3"/>
        </w:numPr>
        <w:rPr>
          <w:rFonts w:eastAsia="宋体"/>
          <w:b/>
        </w:rPr>
      </w:pPr>
      <w:r>
        <w:rPr>
          <w:rFonts w:eastAsia="宋体" w:hint="eastAsia"/>
          <w:b/>
        </w:rPr>
        <w:t>定期检查细胞培养基过期日期，并在过期前使用完或更换新的培养基，避免使用过期培养基导致细胞生长异常或失败。</w:t>
      </w:r>
    </w:p>
    <w:p w:rsidR="00992D98" w:rsidRDefault="00000000">
      <w:pPr>
        <w:pStyle w:val="1"/>
        <w:numPr>
          <w:ilvl w:val="0"/>
          <w:numId w:val="1"/>
        </w:numPr>
        <w:rPr>
          <w:rFonts w:eastAsia="宋体"/>
        </w:rPr>
      </w:pPr>
      <w:r>
        <w:rPr>
          <w:rFonts w:eastAsia="宋体" w:hint="eastAsia"/>
        </w:rPr>
        <w:t>实验步骤</w:t>
      </w:r>
    </w:p>
    <w:p w:rsidR="00992D98" w:rsidRDefault="00000000">
      <w:pPr>
        <w:ind w:firstLineChars="200" w:firstLine="480"/>
        <w:rPr>
          <w:rFonts w:eastAsia="宋体"/>
        </w:rPr>
      </w:pPr>
      <w:r>
        <w:rPr>
          <w:rFonts w:eastAsia="宋体"/>
        </w:rPr>
        <w:t>本实验方法根据</w:t>
      </w:r>
      <w:r>
        <w:rPr>
          <w:rFonts w:eastAsia="宋体" w:hint="eastAsia"/>
        </w:rPr>
        <w:t>珠海恺瑞杂交瘤细胞制备及无血清培养</w:t>
      </w:r>
      <w:r>
        <w:rPr>
          <w:rFonts w:eastAsia="宋体"/>
        </w:rPr>
        <w:t>经验总结而成</w:t>
      </w:r>
      <w:r>
        <w:rPr>
          <w:rFonts w:eastAsia="宋体" w:hint="eastAsia"/>
        </w:rPr>
        <w:t>，客户</w:t>
      </w:r>
      <w:r>
        <w:rPr>
          <w:rFonts w:eastAsia="宋体"/>
        </w:rPr>
        <w:t>可根</w:t>
      </w:r>
      <w:r>
        <w:rPr>
          <w:rFonts w:eastAsia="宋体" w:hint="eastAsia"/>
        </w:rPr>
        <w:t>据</w:t>
      </w:r>
      <w:r>
        <w:rPr>
          <w:rFonts w:eastAsia="宋体"/>
        </w:rPr>
        <w:t>个人经验</w:t>
      </w:r>
      <w:r>
        <w:rPr>
          <w:rFonts w:eastAsia="宋体" w:hint="eastAsia"/>
        </w:rPr>
        <w:t>对此实验方法</w:t>
      </w:r>
      <w:r>
        <w:rPr>
          <w:rFonts w:eastAsia="宋体"/>
        </w:rPr>
        <w:t>做适当的调整。</w:t>
      </w:r>
    </w:p>
    <w:p w:rsidR="00992D98" w:rsidRDefault="00000000">
      <w:pPr>
        <w:pStyle w:val="2"/>
        <w:rPr>
          <w:rFonts w:ascii="Times New Roman" w:eastAsia="宋体" w:hAnsi="Times New Roman" w:cs="Times New Roman"/>
        </w:rPr>
      </w:pPr>
      <w:r>
        <w:rPr>
          <w:rFonts w:ascii="Times New Roman" w:eastAsia="宋体" w:hAnsi="Times New Roman" w:hint="eastAsia"/>
        </w:rPr>
        <w:lastRenderedPageBreak/>
        <w:t>2.1</w:t>
      </w:r>
      <w:r>
        <w:rPr>
          <w:rFonts w:ascii="Times New Roman" w:eastAsia="宋体" w:hAnsi="Times New Roman" w:hint="eastAsia"/>
        </w:rPr>
        <w:t>已适应无血清培养的杂交瘤细胞克隆</w:t>
      </w:r>
    </w:p>
    <w:p w:rsidR="00992D98" w:rsidRDefault="00000000">
      <w:pPr>
        <w:ind w:firstLineChars="200" w:firstLine="482"/>
        <w:rPr>
          <w:rFonts w:eastAsia="宋体" w:cs="Times New Roman"/>
        </w:rPr>
      </w:pPr>
      <w:r>
        <w:rPr>
          <w:rFonts w:eastAsia="宋体" w:cs="Times New Roman" w:hint="eastAsia"/>
          <w:b/>
          <w:bCs/>
        </w:rPr>
        <w:t>KD-</w:t>
      </w:r>
      <w:proofErr w:type="spellStart"/>
      <w:r>
        <w:rPr>
          <w:rFonts w:eastAsia="宋体" w:cs="Times New Roman" w:hint="eastAsia"/>
          <w:b/>
          <w:bCs/>
        </w:rPr>
        <w:t>HybriGro</w:t>
      </w:r>
      <w:proofErr w:type="spellEnd"/>
      <w:r>
        <w:rPr>
          <w:rFonts w:eastAsia="宋体" w:cs="Times New Roman" w:hint="eastAsia"/>
        </w:rPr>
        <w:t>可应用于</w:t>
      </w:r>
      <w:r>
        <w:rPr>
          <w:rFonts w:eastAsia="宋体" w:hint="eastAsia"/>
        </w:rPr>
        <w:t>已适应无血清培养的杂交瘤细胞进行亚克隆，可显著提高克隆形成率，提高细胞活性。</w:t>
      </w:r>
    </w:p>
    <w:p w:rsidR="00992D98" w:rsidRDefault="00000000">
      <w:pPr>
        <w:ind w:firstLineChars="200" w:firstLine="480"/>
        <w:rPr>
          <w:rFonts w:eastAsia="宋体" w:cs="Times New Roman"/>
        </w:rPr>
      </w:pPr>
      <w:r>
        <w:rPr>
          <w:rFonts w:eastAsia="宋体" w:cs="Times New Roman" w:hint="eastAsia"/>
        </w:rPr>
        <w:t>已经适应低密度或高密度无血清培养条件的杂交瘤细胞一般可直接使用</w:t>
      </w:r>
      <w:proofErr w:type="spellStart"/>
      <w:r>
        <w:rPr>
          <w:rFonts w:eastAsia="宋体" w:cs="Times New Roman"/>
        </w:rPr>
        <w:t>KD-Clone+ITSPlus</w:t>
      </w:r>
      <w:proofErr w:type="spellEnd"/>
      <w:r>
        <w:rPr>
          <w:rFonts w:eastAsia="宋体" w:cs="Times New Roman" w:hint="eastAsia"/>
        </w:rPr>
        <w:t>进行亚克隆，不同杂交瘤细胞细胞株差异较大，只添加基础添加因子不一定能够克隆成功，而</w:t>
      </w:r>
      <w:r>
        <w:rPr>
          <w:rFonts w:eastAsia="宋体" w:cs="Times New Roman" w:hint="eastAsia"/>
          <w:b/>
          <w:bCs/>
        </w:rPr>
        <w:t>KD-</w:t>
      </w:r>
      <w:proofErr w:type="spellStart"/>
      <w:r>
        <w:rPr>
          <w:rFonts w:eastAsia="宋体" w:cs="Times New Roman" w:hint="eastAsia"/>
          <w:b/>
          <w:bCs/>
        </w:rPr>
        <w:t>HybriGro</w:t>
      </w:r>
      <w:proofErr w:type="spellEnd"/>
      <w:r>
        <w:rPr>
          <w:rFonts w:eastAsia="宋体" w:cs="Times New Roman" w:hint="eastAsia"/>
          <w:b/>
          <w:bCs/>
        </w:rPr>
        <w:t>促生长组合因子可保障亚克隆细的生长，显著提高不同细胞株的克隆形成率，提高细胞存活率。</w:t>
      </w:r>
      <w:r>
        <w:rPr>
          <w:rFonts w:eastAsia="宋体" w:cs="Times New Roman" w:hint="eastAsia"/>
        </w:rPr>
        <w:t>实现无血清亚克隆后，可将细胞无血清扩增并冻存（可使用</w:t>
      </w:r>
      <w:r>
        <w:rPr>
          <w:rFonts w:eastAsia="宋体" w:cs="Times New Roman" w:hint="eastAsia"/>
          <w:color w:val="000000" w:themeColor="text1"/>
        </w:rPr>
        <w:t>KD-Freeze</w:t>
      </w:r>
      <w:r>
        <w:rPr>
          <w:rFonts w:eastAsia="宋体" w:cs="Times New Roman" w:hint="eastAsia"/>
          <w:color w:val="000000" w:themeColor="text1"/>
        </w:rPr>
        <w:t>，</w:t>
      </w:r>
      <w:r>
        <w:rPr>
          <w:rFonts w:eastAsia="宋体" w:cs="Times New Roman" w:hint="eastAsia"/>
        </w:rPr>
        <w:t>无血清细胞冻存液），建立更稳定的无血清杂交瘤工作库。后续无需驯化，可长期较稳定表达无血清目标抗体。</w:t>
      </w:r>
    </w:p>
    <w:p w:rsidR="00992D98" w:rsidRDefault="00000000">
      <w:pPr>
        <w:pStyle w:val="2"/>
        <w:rPr>
          <w:rFonts w:ascii="Times New Roman" w:eastAsia="宋体" w:hAnsi="Times New Roman" w:cs="Times New Roman"/>
        </w:rPr>
      </w:pPr>
      <w:r>
        <w:rPr>
          <w:rFonts w:ascii="Times New Roman" w:eastAsia="宋体" w:hAnsi="Times New Roman" w:cs="Times New Roman" w:hint="eastAsia"/>
        </w:rPr>
        <w:t>2.2</w:t>
      </w:r>
      <w:r>
        <w:rPr>
          <w:rFonts w:ascii="Times New Roman" w:eastAsia="宋体" w:hAnsi="Times New Roman" w:cs="Times New Roman" w:hint="eastAsia"/>
        </w:rPr>
        <w:t>尚未</w:t>
      </w:r>
      <w:r>
        <w:rPr>
          <w:rFonts w:ascii="Times New Roman" w:eastAsia="宋体" w:hAnsi="Times New Roman" w:hint="eastAsia"/>
        </w:rPr>
        <w:t>适应无血清培养的杂交瘤细胞克隆</w:t>
      </w:r>
    </w:p>
    <w:p w:rsidR="00992D98" w:rsidRDefault="00000000">
      <w:pPr>
        <w:ind w:firstLineChars="200" w:firstLine="482"/>
        <w:rPr>
          <w:rFonts w:eastAsia="宋体"/>
          <w:b/>
          <w:bCs/>
        </w:rPr>
      </w:pPr>
      <w:r>
        <w:rPr>
          <w:rFonts w:eastAsia="宋体" w:cs="Times New Roman" w:hint="eastAsia"/>
          <w:b/>
          <w:bCs/>
        </w:rPr>
        <w:t>KD-</w:t>
      </w:r>
      <w:proofErr w:type="spellStart"/>
      <w:r>
        <w:rPr>
          <w:rFonts w:eastAsia="宋体" w:cs="Times New Roman" w:hint="eastAsia"/>
          <w:b/>
          <w:bCs/>
        </w:rPr>
        <w:t>HybriGro</w:t>
      </w:r>
      <w:proofErr w:type="spellEnd"/>
      <w:r>
        <w:rPr>
          <w:rFonts w:eastAsia="宋体" w:cs="Times New Roman" w:hint="eastAsia"/>
        </w:rPr>
        <w:t>可应用于</w:t>
      </w:r>
      <w:r>
        <w:rPr>
          <w:rFonts w:eastAsia="宋体" w:hint="eastAsia"/>
        </w:rPr>
        <w:t>尚未适应无血清培养的杂交瘤细胞亚克隆，配合</w:t>
      </w:r>
      <w:r>
        <w:rPr>
          <w:rFonts w:eastAsia="宋体" w:hint="eastAsia"/>
        </w:rPr>
        <w:t>1%FBS</w:t>
      </w:r>
      <w:r>
        <w:rPr>
          <w:rFonts w:eastAsia="宋体" w:hint="eastAsia"/>
        </w:rPr>
        <w:t>添加使用，其克隆效果接近</w:t>
      </w:r>
      <w:r>
        <w:rPr>
          <w:rFonts w:eastAsia="宋体" w:hint="eastAsia"/>
        </w:rPr>
        <w:t>10%FBS</w:t>
      </w:r>
      <w:r>
        <w:rPr>
          <w:rFonts w:eastAsia="宋体" w:hint="eastAsia"/>
        </w:rPr>
        <w:t>，明显降低了血清的使用量，同时明显提高克隆细胞对无血清培养的适应能力，使克隆细胞株的无血清驯化更加简易高效，明显缩短细胞驯化时间，提高无血清驯化成功率。</w:t>
      </w:r>
    </w:p>
    <w:p w:rsidR="00992D98" w:rsidRDefault="00000000">
      <w:pPr>
        <w:ind w:firstLineChars="200" w:firstLine="480"/>
        <w:rPr>
          <w:rFonts w:eastAsia="宋体"/>
          <w:szCs w:val="32"/>
        </w:rPr>
      </w:pPr>
      <w:r>
        <w:rPr>
          <w:rFonts w:eastAsia="宋体" w:hint="eastAsia"/>
          <w:szCs w:val="32"/>
        </w:rPr>
        <w:t>尚未适应无血清培养的杂交瘤细胞亚克隆，添加</w:t>
      </w:r>
      <w:r>
        <w:rPr>
          <w:rFonts w:eastAsia="宋体" w:hint="eastAsia"/>
          <w:szCs w:val="32"/>
        </w:rPr>
        <w:t>1%FBS</w:t>
      </w:r>
      <w:r>
        <w:rPr>
          <w:rFonts w:eastAsia="宋体" w:hint="eastAsia"/>
          <w:szCs w:val="32"/>
        </w:rPr>
        <w:t>，</w:t>
      </w:r>
      <w:r>
        <w:rPr>
          <w:rFonts w:eastAsia="宋体" w:cs="Times New Roman" w:hint="eastAsia"/>
          <w:b/>
          <w:bCs/>
          <w:szCs w:val="32"/>
        </w:rPr>
        <w:t>KD-</w:t>
      </w:r>
      <w:proofErr w:type="spellStart"/>
      <w:r>
        <w:rPr>
          <w:rFonts w:eastAsia="宋体" w:cs="Times New Roman" w:hint="eastAsia"/>
          <w:b/>
          <w:bCs/>
          <w:szCs w:val="32"/>
        </w:rPr>
        <w:t>HybriGro</w:t>
      </w:r>
      <w:proofErr w:type="spellEnd"/>
      <w:r>
        <w:rPr>
          <w:rFonts w:eastAsia="宋体" w:hint="eastAsia"/>
          <w:szCs w:val="32"/>
        </w:rPr>
        <w:t>（</w:t>
      </w:r>
      <w:r>
        <w:rPr>
          <w:rFonts w:eastAsia="宋体" w:hint="eastAsia"/>
          <w:szCs w:val="32"/>
        </w:rPr>
        <w:t>100X</w:t>
      </w:r>
      <w:r>
        <w:rPr>
          <w:rFonts w:eastAsia="宋体" w:hint="eastAsia"/>
          <w:szCs w:val="32"/>
        </w:rPr>
        <w:t>）与</w:t>
      </w:r>
      <w:r>
        <w:rPr>
          <w:rFonts w:eastAsia="宋体" w:hint="eastAsia"/>
          <w:szCs w:val="32"/>
        </w:rPr>
        <w:t>KD-Clone</w:t>
      </w:r>
      <w:r>
        <w:rPr>
          <w:rFonts w:eastAsia="宋体" w:hint="eastAsia"/>
          <w:szCs w:val="32"/>
        </w:rPr>
        <w:t>配制成完全无血清进行亚克隆。</w:t>
      </w:r>
    </w:p>
    <w:p w:rsidR="00992D98" w:rsidRDefault="00000000">
      <w:pPr>
        <w:ind w:firstLineChars="200" w:firstLine="482"/>
        <w:rPr>
          <w:rFonts w:eastAsia="宋体"/>
          <w:szCs w:val="32"/>
        </w:rPr>
      </w:pPr>
      <w:r>
        <w:rPr>
          <w:rFonts w:eastAsia="宋体" w:cs="Times New Roman" w:hint="eastAsia"/>
          <w:b/>
          <w:bCs/>
          <w:szCs w:val="32"/>
        </w:rPr>
        <w:t>KD-</w:t>
      </w:r>
      <w:proofErr w:type="spellStart"/>
      <w:r>
        <w:rPr>
          <w:rFonts w:eastAsia="宋体" w:cs="Times New Roman" w:hint="eastAsia"/>
          <w:b/>
          <w:bCs/>
          <w:szCs w:val="32"/>
        </w:rPr>
        <w:t>HybriGro</w:t>
      </w:r>
      <w:proofErr w:type="spellEnd"/>
      <w:r>
        <w:rPr>
          <w:rFonts w:eastAsia="宋体" w:hint="eastAsia"/>
          <w:szCs w:val="32"/>
        </w:rPr>
        <w:t>杂交瘤促生长组合因子含有多种杂交瘤单细胞生长促进因子，有效促进杂交瘤单细胞生长，配合</w:t>
      </w:r>
      <w:r>
        <w:rPr>
          <w:rFonts w:eastAsia="宋体" w:hint="eastAsia"/>
          <w:szCs w:val="32"/>
        </w:rPr>
        <w:t>1%FBS</w:t>
      </w:r>
      <w:r>
        <w:rPr>
          <w:rFonts w:eastAsia="宋体" w:hint="eastAsia"/>
          <w:szCs w:val="32"/>
        </w:rPr>
        <w:t>添加使用，其克隆效果接近</w:t>
      </w:r>
      <w:r>
        <w:rPr>
          <w:rFonts w:eastAsia="宋体" w:hint="eastAsia"/>
          <w:szCs w:val="32"/>
        </w:rPr>
        <w:t>10%FBS</w:t>
      </w:r>
      <w:r>
        <w:rPr>
          <w:rFonts w:eastAsia="宋体" w:hint="eastAsia"/>
          <w:szCs w:val="32"/>
        </w:rPr>
        <w:t>不添加因子克隆效果，重点显著降低了克隆细胞株对血清的依赖性，更容易进行无血清培养。</w:t>
      </w:r>
    </w:p>
    <w:p w:rsidR="00992D98" w:rsidRDefault="00000000">
      <w:pPr>
        <w:pStyle w:val="2"/>
        <w:rPr>
          <w:rFonts w:ascii="Times New Roman" w:eastAsia="宋体" w:hAnsi="Times New Roman"/>
        </w:rPr>
      </w:pPr>
      <w:r>
        <w:rPr>
          <w:rFonts w:ascii="Times New Roman" w:eastAsia="宋体" w:hAnsi="Times New Roman" w:hint="eastAsia"/>
        </w:rPr>
        <w:t>2.3</w:t>
      </w:r>
      <w:r>
        <w:rPr>
          <w:rFonts w:ascii="Times New Roman" w:eastAsia="宋体" w:hAnsi="Times New Roman" w:hint="eastAsia"/>
        </w:rPr>
        <w:t>杂交瘤细胞亚克隆方法参考（以有限稀释法为例）：</w:t>
      </w:r>
    </w:p>
    <w:p w:rsidR="00992D98" w:rsidRDefault="00000000">
      <w:pPr>
        <w:pStyle w:val="2"/>
        <w:rPr>
          <w:rFonts w:ascii="Times New Roman" w:eastAsia="宋体" w:hAnsi="Times New Roman"/>
        </w:rPr>
      </w:pPr>
      <w:r>
        <w:rPr>
          <w:rFonts w:ascii="Times New Roman" w:eastAsia="宋体" w:hAnsi="Times New Roman" w:hint="eastAsia"/>
        </w:rPr>
        <w:t>2.3.1</w:t>
      </w:r>
      <w:r>
        <w:rPr>
          <w:rFonts w:ascii="Times New Roman" w:eastAsia="宋体" w:hAnsi="Times New Roman"/>
        </w:rPr>
        <w:t>实验步骤</w:t>
      </w:r>
    </w:p>
    <w:p w:rsidR="00992D98" w:rsidRDefault="00000000">
      <w:pPr>
        <w:rPr>
          <w:rFonts w:eastAsia="宋体"/>
        </w:rPr>
      </w:pPr>
      <w:r>
        <w:rPr>
          <w:rFonts w:eastAsia="宋体"/>
        </w:rPr>
        <w:t>以克隆三</w:t>
      </w:r>
      <w:r>
        <w:rPr>
          <w:rFonts w:eastAsia="宋体" w:hint="eastAsia"/>
        </w:rPr>
        <w:t>块</w:t>
      </w:r>
      <w:r>
        <w:rPr>
          <w:rFonts w:eastAsia="宋体" w:hint="eastAsia"/>
        </w:rPr>
        <w:t>96</w:t>
      </w:r>
      <w:r>
        <w:rPr>
          <w:rFonts w:eastAsia="宋体" w:hint="eastAsia"/>
        </w:rPr>
        <w:t>孔板、</w:t>
      </w:r>
      <w:r>
        <w:rPr>
          <w:rFonts w:eastAsia="宋体"/>
        </w:rPr>
        <w:t>每板</w:t>
      </w:r>
      <w:r>
        <w:rPr>
          <w:rFonts w:eastAsia="宋体" w:hint="eastAsia"/>
        </w:rPr>
        <w:t>200</w:t>
      </w:r>
      <w:r>
        <w:rPr>
          <w:rFonts w:eastAsia="宋体"/>
        </w:rPr>
        <w:t>个细胞为例：</w:t>
      </w:r>
    </w:p>
    <w:p w:rsidR="00992D98" w:rsidRDefault="00000000">
      <w:pPr>
        <w:pStyle w:val="ab"/>
        <w:numPr>
          <w:ilvl w:val="0"/>
          <w:numId w:val="4"/>
        </w:numPr>
        <w:ind w:left="0" w:firstLineChars="0" w:firstLine="0"/>
        <w:rPr>
          <w:rFonts w:eastAsia="宋体"/>
        </w:rPr>
      </w:pPr>
      <w:r>
        <w:rPr>
          <w:rFonts w:eastAsia="宋体" w:hint="eastAsia"/>
        </w:rPr>
        <w:t>完全培养基配制：</w:t>
      </w:r>
      <w:r>
        <w:rPr>
          <w:rFonts w:eastAsia="宋体"/>
        </w:rPr>
        <w:t>取</w:t>
      </w:r>
      <w:r>
        <w:rPr>
          <w:rFonts w:eastAsia="宋体" w:hint="eastAsia"/>
        </w:rPr>
        <w:t>无菌摇瓶</w:t>
      </w:r>
      <w:r>
        <w:rPr>
          <w:rFonts w:eastAsia="宋体"/>
        </w:rPr>
        <w:t>，</w:t>
      </w:r>
      <w:r>
        <w:rPr>
          <w:rFonts w:eastAsia="宋体" w:hint="eastAsia"/>
        </w:rPr>
        <w:t>加入</w:t>
      </w:r>
      <w:r>
        <w:rPr>
          <w:rFonts w:eastAsia="宋体"/>
        </w:rPr>
        <w:t>48m</w:t>
      </w:r>
      <w:r>
        <w:rPr>
          <w:rFonts w:eastAsia="宋体" w:hint="eastAsia"/>
        </w:rPr>
        <w:t>l</w:t>
      </w:r>
      <w:r>
        <w:rPr>
          <w:rFonts w:eastAsia="宋体"/>
        </w:rPr>
        <w:t>的</w:t>
      </w:r>
      <w:r>
        <w:rPr>
          <w:rFonts w:eastAsia="宋体"/>
        </w:rPr>
        <w:t>KD-Clone</w:t>
      </w:r>
      <w:r>
        <w:rPr>
          <w:rFonts w:eastAsia="宋体" w:hint="eastAsia"/>
        </w:rPr>
        <w:t>，</w:t>
      </w:r>
      <w:r>
        <w:rPr>
          <w:rFonts w:eastAsia="宋体"/>
        </w:rPr>
        <w:t>480</w:t>
      </w:r>
      <w:r w:rsidR="00DB2132">
        <w:rPr>
          <w:rFonts w:eastAsia="宋体" w:cs="Times New Roman"/>
        </w:rPr>
        <w:t>µ</w:t>
      </w:r>
      <w:r>
        <w:rPr>
          <w:rFonts w:eastAsia="宋体"/>
        </w:rPr>
        <w:t>l</w:t>
      </w:r>
      <w:r>
        <w:rPr>
          <w:rFonts w:eastAsia="宋体" w:hint="eastAsia"/>
        </w:rPr>
        <w:t>的</w:t>
      </w:r>
      <w:r>
        <w:rPr>
          <w:rFonts w:eastAsia="宋体"/>
        </w:rPr>
        <w:t>KD-</w:t>
      </w:r>
      <w:proofErr w:type="spellStart"/>
      <w:r>
        <w:rPr>
          <w:rFonts w:eastAsia="宋体"/>
        </w:rPr>
        <w:t>HybriGro</w:t>
      </w:r>
      <w:proofErr w:type="spellEnd"/>
      <w:r>
        <w:rPr>
          <w:rFonts w:eastAsia="宋体"/>
        </w:rPr>
        <w:t>（</w:t>
      </w:r>
      <w:r>
        <w:rPr>
          <w:rFonts w:eastAsia="宋体" w:hint="eastAsia"/>
        </w:rPr>
        <w:t>1:100</w:t>
      </w:r>
      <w:r>
        <w:rPr>
          <w:rFonts w:eastAsia="宋体" w:hint="eastAsia"/>
        </w:rPr>
        <w:t>），</w:t>
      </w:r>
      <w:r>
        <w:rPr>
          <w:rFonts w:eastAsia="宋体"/>
        </w:rPr>
        <w:t>480</w:t>
      </w:r>
      <w:r>
        <w:rPr>
          <w:rFonts w:eastAsia="宋体" w:cs="Times New Roman"/>
        </w:rPr>
        <w:t>µ</w:t>
      </w:r>
      <w:r>
        <w:rPr>
          <w:rFonts w:eastAsia="宋体"/>
        </w:rPr>
        <w:t>l FBS(1%)</w:t>
      </w:r>
      <w:r>
        <w:rPr>
          <w:rFonts w:eastAsia="宋体"/>
        </w:rPr>
        <w:t>混匀，再从摇瓶中分别取</w:t>
      </w:r>
      <w:r>
        <w:rPr>
          <w:rFonts w:eastAsia="宋体"/>
        </w:rPr>
        <w:t xml:space="preserve">900 </w:t>
      </w:r>
      <w:r>
        <w:rPr>
          <w:rFonts w:eastAsia="宋体" w:cs="Times New Roman"/>
        </w:rPr>
        <w:t>µ</w:t>
      </w:r>
      <w:r>
        <w:rPr>
          <w:rFonts w:eastAsia="宋体"/>
        </w:rPr>
        <w:t>l</w:t>
      </w:r>
      <w:r>
        <w:rPr>
          <w:rFonts w:eastAsia="宋体"/>
        </w:rPr>
        <w:t>的培养液加入</w:t>
      </w:r>
      <w:r>
        <w:rPr>
          <w:rFonts w:eastAsia="宋体"/>
        </w:rPr>
        <w:t>3</w:t>
      </w:r>
      <w:r>
        <w:rPr>
          <w:rFonts w:eastAsia="宋体"/>
        </w:rPr>
        <w:t>个</w:t>
      </w:r>
      <w:r>
        <w:rPr>
          <w:rFonts w:eastAsia="宋体"/>
        </w:rPr>
        <w:t>1.5 m</w:t>
      </w:r>
      <w:r>
        <w:rPr>
          <w:rFonts w:eastAsia="宋体" w:hint="eastAsia"/>
        </w:rPr>
        <w:t>l</w:t>
      </w:r>
      <w:r>
        <w:rPr>
          <w:rFonts w:eastAsia="宋体"/>
        </w:rPr>
        <w:t>的离心管中，分别标号为管</w:t>
      </w:r>
      <w:r>
        <w:rPr>
          <w:rFonts w:eastAsia="宋体"/>
        </w:rPr>
        <w:t>1</w:t>
      </w:r>
      <w:r>
        <w:rPr>
          <w:rFonts w:eastAsia="宋体"/>
        </w:rPr>
        <w:t>、管</w:t>
      </w:r>
      <w:r>
        <w:rPr>
          <w:rFonts w:eastAsia="宋体"/>
        </w:rPr>
        <w:t>2</w:t>
      </w:r>
      <w:r>
        <w:rPr>
          <w:rFonts w:eastAsia="宋体"/>
        </w:rPr>
        <w:t>、管</w:t>
      </w:r>
      <w:r>
        <w:rPr>
          <w:rFonts w:eastAsia="宋体"/>
        </w:rPr>
        <w:t>3</w:t>
      </w:r>
      <w:r>
        <w:rPr>
          <w:rFonts w:eastAsia="宋体"/>
        </w:rPr>
        <w:t>。</w:t>
      </w:r>
    </w:p>
    <w:p w:rsidR="00992D98" w:rsidRDefault="00000000">
      <w:pPr>
        <w:pStyle w:val="ab"/>
        <w:numPr>
          <w:ilvl w:val="0"/>
          <w:numId w:val="4"/>
        </w:numPr>
        <w:ind w:left="0" w:firstLineChars="0" w:firstLine="0"/>
        <w:rPr>
          <w:rFonts w:eastAsia="宋体"/>
        </w:rPr>
      </w:pPr>
      <w:r>
        <w:rPr>
          <w:rFonts w:eastAsia="宋体" w:hint="eastAsia"/>
        </w:rPr>
        <w:t>有限稀释法梯度稀释待克隆细胞：</w:t>
      </w:r>
      <w:r>
        <w:rPr>
          <w:rFonts w:eastAsia="宋体"/>
        </w:rPr>
        <w:t>取待克隆的细胞</w:t>
      </w:r>
      <w:r>
        <w:rPr>
          <w:rFonts w:eastAsia="宋体"/>
        </w:rPr>
        <w:t xml:space="preserve">100 </w:t>
      </w:r>
      <w:r>
        <w:rPr>
          <w:rFonts w:eastAsia="宋体" w:cs="Times New Roman"/>
        </w:rPr>
        <w:t>µ</w:t>
      </w:r>
      <w:r>
        <w:rPr>
          <w:rFonts w:eastAsia="宋体"/>
        </w:rPr>
        <w:t>l</w:t>
      </w:r>
      <w:r>
        <w:rPr>
          <w:rFonts w:eastAsia="宋体"/>
        </w:rPr>
        <w:t>，加入管</w:t>
      </w:r>
      <w:r>
        <w:rPr>
          <w:rFonts w:eastAsia="宋体"/>
        </w:rPr>
        <w:t>1</w:t>
      </w:r>
      <w:r>
        <w:rPr>
          <w:rFonts w:eastAsia="宋体"/>
        </w:rPr>
        <w:t>中，混匀；</w:t>
      </w:r>
      <w:r>
        <w:rPr>
          <w:rFonts w:eastAsia="宋体" w:hint="eastAsia"/>
        </w:rPr>
        <w:t>按梯度稀释的方法稀释</w:t>
      </w:r>
      <w:r>
        <w:rPr>
          <w:rFonts w:eastAsia="宋体"/>
        </w:rPr>
        <w:t>。快速从管</w:t>
      </w:r>
      <w:r>
        <w:rPr>
          <w:rFonts w:eastAsia="宋体"/>
        </w:rPr>
        <w:t>3</w:t>
      </w:r>
      <w:r>
        <w:rPr>
          <w:rFonts w:eastAsia="宋体"/>
        </w:rPr>
        <w:t>中吸取</w:t>
      </w:r>
      <w:r>
        <w:rPr>
          <w:rFonts w:eastAsia="宋体"/>
        </w:rPr>
        <w:t>3</w:t>
      </w:r>
      <w:r>
        <w:rPr>
          <w:rFonts w:eastAsia="宋体"/>
        </w:rPr>
        <w:t>滴</w:t>
      </w:r>
      <w:r>
        <w:rPr>
          <w:rFonts w:eastAsia="宋体"/>
        </w:rPr>
        <w:t xml:space="preserve">10 </w:t>
      </w:r>
      <w:r>
        <w:rPr>
          <w:rFonts w:eastAsia="宋体" w:cs="Times New Roman"/>
        </w:rPr>
        <w:t>µ</w:t>
      </w:r>
      <w:r>
        <w:rPr>
          <w:rFonts w:eastAsia="宋体"/>
        </w:rPr>
        <w:t>l</w:t>
      </w:r>
      <w:r>
        <w:rPr>
          <w:rFonts w:eastAsia="宋体"/>
        </w:rPr>
        <w:t>细胞混合液于小平皿中，显微镜镜下计数，取其平均数（</w:t>
      </w:r>
      <w:r>
        <w:rPr>
          <w:rFonts w:eastAsia="宋体"/>
        </w:rPr>
        <w:t xml:space="preserve">* </w:t>
      </w:r>
      <w:r>
        <w:rPr>
          <w:rFonts w:eastAsia="宋体"/>
        </w:rPr>
        <w:t>个</w:t>
      </w:r>
      <w:r>
        <w:rPr>
          <w:rFonts w:eastAsia="宋体"/>
        </w:rPr>
        <w:t xml:space="preserve">/10 </w:t>
      </w:r>
      <w:r>
        <w:rPr>
          <w:rFonts w:eastAsia="宋体" w:cs="Times New Roman"/>
        </w:rPr>
        <w:t>µ</w:t>
      </w:r>
      <w:r>
        <w:rPr>
          <w:rFonts w:eastAsia="宋体"/>
        </w:rPr>
        <w:t>l</w:t>
      </w:r>
      <w:r>
        <w:rPr>
          <w:rFonts w:eastAsia="宋体"/>
        </w:rPr>
        <w:t>）。若细胞量较少（﹤</w:t>
      </w:r>
      <w:r>
        <w:rPr>
          <w:rFonts w:eastAsia="宋体"/>
        </w:rPr>
        <w:t>10</w:t>
      </w:r>
      <w:r>
        <w:rPr>
          <w:rFonts w:eastAsia="宋体"/>
        </w:rPr>
        <w:t>个），则按照同样的方法吸取管</w:t>
      </w:r>
      <w:r>
        <w:rPr>
          <w:rFonts w:eastAsia="宋体"/>
        </w:rPr>
        <w:t>2</w:t>
      </w:r>
      <w:r>
        <w:rPr>
          <w:rFonts w:eastAsia="宋体"/>
        </w:rPr>
        <w:t>细胞混合</w:t>
      </w:r>
      <w:r>
        <w:rPr>
          <w:rFonts w:eastAsia="宋体"/>
        </w:rPr>
        <w:lastRenderedPageBreak/>
        <w:t>液。计算出共需细胞混合液体积，取相应细胞混合液加入到步骤</w:t>
      </w:r>
      <w:r>
        <w:rPr>
          <w:rFonts w:eastAsia="宋体" w:hint="eastAsia"/>
        </w:rPr>
        <w:t>（</w:t>
      </w:r>
      <w:r>
        <w:rPr>
          <w:rFonts w:eastAsia="宋体"/>
        </w:rPr>
        <w:t>1</w:t>
      </w:r>
      <w:r>
        <w:rPr>
          <w:rFonts w:eastAsia="宋体" w:hint="eastAsia"/>
        </w:rPr>
        <w:t>）</w:t>
      </w:r>
      <w:r>
        <w:rPr>
          <w:rFonts w:eastAsia="宋体"/>
        </w:rPr>
        <w:t>中剩余的</w:t>
      </w:r>
      <w:r>
        <w:rPr>
          <w:rFonts w:eastAsia="宋体"/>
        </w:rPr>
        <w:t>45 ml</w:t>
      </w:r>
      <w:r>
        <w:rPr>
          <w:rFonts w:eastAsia="宋体"/>
        </w:rPr>
        <w:t>的</w:t>
      </w:r>
      <w:r>
        <w:rPr>
          <w:rFonts w:eastAsia="宋体" w:hint="eastAsia"/>
        </w:rPr>
        <w:t>完全培养基</w:t>
      </w:r>
      <w:r>
        <w:rPr>
          <w:rFonts w:eastAsia="宋体"/>
        </w:rPr>
        <w:t>中，混匀。</w:t>
      </w:r>
    </w:p>
    <w:p w:rsidR="00992D98" w:rsidRDefault="00000000">
      <w:pPr>
        <w:rPr>
          <w:rFonts w:eastAsia="宋体" w:cs="Times New Roman"/>
        </w:rPr>
      </w:pPr>
      <w:r>
        <w:rPr>
          <w:rFonts w:eastAsia="宋体" w:cs="Times New Roman"/>
          <w:b/>
          <w:noProof/>
        </w:rPr>
        <mc:AlternateContent>
          <mc:Choice Requires="wps">
            <w:drawing>
              <wp:anchor distT="0" distB="0" distL="114300" distR="114300" simplePos="0" relativeHeight="251659264" behindDoc="0" locked="0" layoutInCell="1" allowOverlap="1">
                <wp:simplePos x="0" y="0"/>
                <wp:positionH relativeFrom="margin">
                  <wp:posOffset>66040</wp:posOffset>
                </wp:positionH>
                <wp:positionV relativeFrom="paragraph">
                  <wp:posOffset>103505</wp:posOffset>
                </wp:positionV>
                <wp:extent cx="6082030" cy="855345"/>
                <wp:effectExtent l="9525" t="9525" r="23495" b="11430"/>
                <wp:wrapNone/>
                <wp:docPr id="2" name="文本框 2"/>
                <wp:cNvGraphicFramePr/>
                <a:graphic xmlns:a="http://schemas.openxmlformats.org/drawingml/2006/main">
                  <a:graphicData uri="http://schemas.microsoft.com/office/word/2010/wordprocessingShape">
                    <wps:wsp>
                      <wps:cNvSpPr txBox="1"/>
                      <wps:spPr>
                        <a:xfrm>
                          <a:off x="0" y="0"/>
                          <a:ext cx="6082030" cy="855345"/>
                        </a:xfrm>
                        <a:prstGeom prst="rect">
                          <a:avLst/>
                        </a:prstGeom>
                        <a:solidFill>
                          <a:srgbClr val="FFFFFF"/>
                        </a:solidFill>
                        <a:ln w="19050" cap="flat" cmpd="sng">
                          <a:solidFill>
                            <a:srgbClr val="5A5A5A"/>
                          </a:solidFill>
                          <a:prstDash val="dash"/>
                          <a:miter/>
                          <a:headEnd type="none" w="med" len="med"/>
                          <a:tailEnd type="none" w="med" len="med"/>
                        </a:ln>
                      </wps:spPr>
                      <wps:txbx>
                        <w:txbxContent>
                          <w:p w:rsidR="00992D98" w:rsidRDefault="00000000">
                            <w:pPr>
                              <w:pStyle w:val="ac"/>
                              <w:rPr>
                                <w:rFonts w:ascii="宋体" w:eastAsia="宋体" w:hAnsi="宋体"/>
                                <w:b/>
                                <w:color w:val="000000" w:themeColor="text1"/>
                                <w:sz w:val="18"/>
                                <w:szCs w:val="18"/>
                              </w:rPr>
                            </w:pPr>
                            <w:r>
                              <w:rPr>
                                <w:rFonts w:ascii="宋体" w:eastAsia="宋体" w:hAnsi="宋体" w:hint="eastAsia"/>
                                <w:b/>
                                <w:color w:val="000000" w:themeColor="text1"/>
                                <w:sz w:val="18"/>
                                <w:szCs w:val="18"/>
                              </w:rPr>
                              <w:t>注意事项：</w:t>
                            </w:r>
                          </w:p>
                          <w:p w:rsidR="00992D98" w:rsidRDefault="00000000">
                            <w:pPr>
                              <w:pStyle w:val="ac"/>
                              <w:numPr>
                                <w:ilvl w:val="0"/>
                                <w:numId w:val="5"/>
                              </w:numPr>
                              <w:rPr>
                                <w:rFonts w:ascii="宋体" w:eastAsia="宋体" w:hAnsi="宋体"/>
                                <w:color w:val="000000" w:themeColor="text1"/>
                                <w:sz w:val="18"/>
                                <w:szCs w:val="18"/>
                              </w:rPr>
                            </w:pPr>
                            <w:r>
                              <w:rPr>
                                <w:rFonts w:ascii="宋体" w:eastAsia="宋体" w:hAnsi="宋体" w:hint="eastAsia"/>
                                <w:color w:val="000000" w:themeColor="text1"/>
                                <w:sz w:val="18"/>
                                <w:szCs w:val="18"/>
                              </w:rPr>
                              <w:t>离心管1、</w:t>
                            </w:r>
                            <w:r>
                              <w:rPr>
                                <w:rFonts w:ascii="宋体" w:eastAsia="宋体" w:hAnsi="宋体"/>
                                <w:color w:val="000000" w:themeColor="text1"/>
                                <w:sz w:val="18"/>
                                <w:szCs w:val="18"/>
                              </w:rPr>
                              <w:t>2</w:t>
                            </w:r>
                            <w:r>
                              <w:rPr>
                                <w:rFonts w:ascii="宋体" w:eastAsia="宋体" w:hAnsi="宋体" w:hint="eastAsia"/>
                                <w:color w:val="000000" w:themeColor="text1"/>
                                <w:sz w:val="18"/>
                                <w:szCs w:val="18"/>
                              </w:rPr>
                              <w:t>、3在混合细胞时需要快，显微镜计数时也不要耗时过长。所有材料准备好后再把细胞取出来计数；</w:t>
                            </w:r>
                          </w:p>
                          <w:p w:rsidR="00992D98" w:rsidRDefault="00000000">
                            <w:pPr>
                              <w:pStyle w:val="ac"/>
                              <w:numPr>
                                <w:ilvl w:val="0"/>
                                <w:numId w:val="5"/>
                              </w:numPr>
                              <w:rPr>
                                <w:rFonts w:ascii="宋体" w:eastAsia="宋体" w:hAnsi="宋体"/>
                                <w:color w:val="000000" w:themeColor="text1"/>
                                <w:sz w:val="18"/>
                                <w:szCs w:val="18"/>
                              </w:rPr>
                            </w:pPr>
                            <w:r>
                              <w:rPr>
                                <w:rFonts w:ascii="宋体" w:eastAsia="宋体" w:hAnsi="宋体" w:hint="eastAsia"/>
                                <w:color w:val="000000" w:themeColor="text1"/>
                                <w:sz w:val="18"/>
                                <w:szCs w:val="18"/>
                              </w:rPr>
                              <w:t>管1、2、3依次为1</w:t>
                            </w:r>
                            <w:r>
                              <w:rPr>
                                <w:rFonts w:ascii="宋体" w:eastAsia="宋体" w:hAnsi="宋体"/>
                                <w:color w:val="000000" w:themeColor="text1"/>
                                <w:sz w:val="18"/>
                                <w:szCs w:val="18"/>
                              </w:rPr>
                              <w:t>0</w:t>
                            </w:r>
                            <w:r>
                              <w:rPr>
                                <w:rFonts w:ascii="宋体" w:eastAsia="宋体" w:hAnsi="宋体" w:hint="eastAsia"/>
                                <w:color w:val="000000" w:themeColor="text1"/>
                                <w:sz w:val="18"/>
                                <w:szCs w:val="18"/>
                              </w:rPr>
                              <w:t>倍关系，当管3细胞量不够时，可按倍数吸取管2中细胞混合液；若管2细胞量不够时，同理可吸取管1或管3中细胞混合液。</w:t>
                            </w:r>
                          </w:p>
                          <w:p w:rsidR="00992D98" w:rsidRDefault="00000000">
                            <w:pPr>
                              <w:pStyle w:val="ac"/>
                              <w:numPr>
                                <w:ilvl w:val="0"/>
                                <w:numId w:val="5"/>
                              </w:numPr>
                              <w:rPr>
                                <w:rFonts w:ascii="宋体" w:eastAsia="宋体" w:hAnsi="宋体"/>
                                <w:color w:val="000000" w:themeColor="text1"/>
                                <w:sz w:val="18"/>
                                <w:szCs w:val="18"/>
                              </w:rPr>
                            </w:pPr>
                            <w:r>
                              <w:rPr>
                                <w:rFonts w:ascii="宋体" w:eastAsia="宋体" w:hAnsi="宋体" w:hint="eastAsia"/>
                                <w:color w:val="000000" w:themeColor="text1"/>
                                <w:sz w:val="18"/>
                                <w:szCs w:val="18"/>
                              </w:rPr>
                              <w:t>在1.5 ml离心管混匀细胞液时尽量不要吹打，上下颠倒数次即可；</w:t>
                            </w:r>
                          </w:p>
                        </w:txbxContent>
                      </wps:txbx>
                      <wps:bodyPr wrap="square" upright="1">
                        <a:noAutofit/>
                      </wps:bodyPr>
                    </wps:wsp>
                  </a:graphicData>
                </a:graphic>
              </wp:anchor>
            </w:drawing>
          </mc:Choice>
          <mc:Fallback xmlns:wpsCustomData="http://www.wps.cn/officeDocument/2013/wpsCustomData">
            <w:pict>
              <v:shape id="_x0000_s1026" o:spid="_x0000_s1026" o:spt="202" type="#_x0000_t202" style="position:absolute;left:0pt;margin-left:5.2pt;margin-top:8.15pt;height:67.35pt;width:478.9pt;mso-position-horizontal-relative:margin;z-index:251659264;mso-width-relative:page;mso-height-relative:page;" fillcolor="#FFFFFF" filled="t" stroked="t" coordsize="21600,21600" o:gfxdata="UEsDBAoAAAAAAIdO4kAAAAAAAAAAAAAAAAAEAAAAZHJzL1BLAwQUAAAACACHTuJAjtiv3dgAAAAJ&#10;AQAADwAAAGRycy9kb3ducmV2LnhtbE2PQU+DQBCF7yb+h82YeLO7FEtaZGmiiRc9tWj0uMAICDtL&#10;2G2L/fUdT3qavHkvb77JtrMdxBEn3znSEC0UCKTK1R01Gt6K57s1CB8M1WZwhBp+0MM2v77KTFq7&#10;E+3wuA+N4BLyqdHQhjCmUvqqRWv8wo1I7H25yZrAcmpkPZkTl9tBLpVKpDUd8YXWjPjUYtXvD1bD&#10;5qP4LE0sv19351X/nrw89kU8a317E6kHEAHn8BeGX3xGh5yZSneg2ouBtbrnJM8kBsH+JlkvQZS8&#10;WEUKZJ7J/x/kF1BLAwQUAAAACACHTuJAGwAu2iECAABeBAAADgAAAGRycy9lMm9Eb2MueG1srVTN&#10;jtMwEL4j8Q6W7zRpl65K1HS1UMoFAdLCA7j+SSz5D9tt0heAN+DEhTvP1edg7GTb3YVDDyRSOvaM&#10;v5nvm3GXN71WaM99kNbUeDopMeKGWiZNU+MvnzcvFhiFSAwjyhpe4wMP+Gb1/NmycxWf2dYqxj0C&#10;EBOqztW4jdFVRRFoyzUJE+u4AaewXpMIS98UzJMO0LUqZmV5XXTWM+ct5SHA7npw4hHRXwJohZCU&#10;ry3daW7igOq5IhEohVa6gFe5WiE4jR+FCDwiVWNgGvMXkoC9Td9itSRV44lrJR1LIJeU8ISTJtJA&#10;0hPUmkSCdl7+BaUl9TZYESfU6mIgkhUBFtPyiTZ3LXE8cwGpgzuJHv4fLP2w/+SRZDWeYWSIhoYf&#10;f3w//vx9/PUNzZI8nQsVRN05iIv9a9vD0NzvB9hMrHvhdfoFPgj8IO7hJC7vI6KweV0uZuUVuCj4&#10;FvP51ct5ginOp50P8R23GiWjxh6alzUl+/chDqH3ISlZsEqyjVQqL3yzfaM82hNo9CY/I/qjMGVQ&#10;B/W/KuepEALjK2BswNQOJAimyQkfHQkPkee36f0XcqpsTUI7VMDASlGk0jJyn62WE/bWMBQPDlQ2&#10;cLlwKkZzhpHicBeTlSMjkeqSSNBOGZAwtWhoRbJiv+0BJplbyw7Qtg7mG9h93REPOXfOy6YFgaeZ&#10;rLG3u2iFzAqfD42wMHa5R+MVSXP9cJ2jzn8L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O2K/d&#10;2AAAAAkBAAAPAAAAAAAAAAEAIAAAACIAAABkcnMvZG93bnJldi54bWxQSwECFAAUAAAACACHTuJA&#10;GwAu2iECAABeBAAADgAAAAAAAAABACAAAAAnAQAAZHJzL2Uyb0RvYy54bWxQSwUGAAAAAAYABgBZ&#10;AQAAugUAAAAA&#10;">
                <v:fill on="t" focussize="0,0"/>
                <v:stroke weight="1.5pt" color="#5A5A5A" joinstyle="miter" dashstyle="dash"/>
                <v:imagedata o:title=""/>
                <o:lock v:ext="edit" aspectratio="f"/>
                <v:textbox>
                  <w:txbxContent>
                    <w:p>
                      <w:pPr>
                        <w:pStyle w:val="12"/>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注意事项：</w:t>
                      </w:r>
                    </w:p>
                    <w:p>
                      <w:pPr>
                        <w:pStyle w:val="12"/>
                        <w:numPr>
                          <w:ilvl w:val="0"/>
                          <w:numId w:val="5"/>
                        </w:numP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离心管1、</w:t>
                      </w:r>
                      <w:r>
                        <w:rPr>
                          <w:rFonts w:ascii="宋体" w:hAnsi="宋体" w:eastAsia="宋体"/>
                          <w:color w:val="000000" w:themeColor="text1"/>
                          <w:sz w:val="18"/>
                          <w:szCs w:val="18"/>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、3在混合细胞时需要快，显微镜计数时也不要耗时过长。所有材料准备好后再把细胞取出来计数；</w:t>
                      </w:r>
                    </w:p>
                    <w:p>
                      <w:pPr>
                        <w:pStyle w:val="12"/>
                        <w:numPr>
                          <w:ilvl w:val="0"/>
                          <w:numId w:val="5"/>
                        </w:numP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管1、2、3依次为1</w:t>
                      </w:r>
                      <w:r>
                        <w:rPr>
                          <w:rFonts w:ascii="宋体" w:hAnsi="宋体" w:eastAsia="宋体"/>
                          <w:color w:val="000000" w:themeColor="text1"/>
                          <w:sz w:val="18"/>
                          <w:szCs w:val="18"/>
                          <w14:textFill>
                            <w14:solidFill>
                              <w14:schemeClr w14:val="tx1"/>
                            </w14:solidFill>
                          </w14:textFill>
                        </w:rPr>
                        <w:t>0</w:t>
                      </w:r>
                      <w:r>
                        <w:rPr>
                          <w:rFonts w:hint="eastAsia" w:ascii="宋体" w:hAnsi="宋体" w:eastAsia="宋体"/>
                          <w:color w:val="000000" w:themeColor="text1"/>
                          <w:sz w:val="18"/>
                          <w:szCs w:val="18"/>
                          <w14:textFill>
                            <w14:solidFill>
                              <w14:schemeClr w14:val="tx1"/>
                            </w14:solidFill>
                          </w14:textFill>
                        </w:rPr>
                        <w:t>倍关系，当管3细胞量不够时，可按倍数吸取管2中细胞混合液；若管2细胞量不够时，同理可吸取管1或管3中细胞混合液。</w:t>
                      </w:r>
                    </w:p>
                    <w:p>
                      <w:pPr>
                        <w:pStyle w:val="12"/>
                        <w:numPr>
                          <w:ilvl w:val="0"/>
                          <w:numId w:val="5"/>
                        </w:numP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在1.5 ml离心管混匀细胞液时尽量不要吹打，上下颠倒数次即可；</w:t>
                      </w:r>
                    </w:p>
                  </w:txbxContent>
                </v:textbox>
              </v:shape>
            </w:pict>
          </mc:Fallback>
        </mc:AlternateContent>
      </w:r>
    </w:p>
    <w:p w:rsidR="00992D98" w:rsidRDefault="00992D98">
      <w:pPr>
        <w:rPr>
          <w:rFonts w:eastAsia="宋体" w:cs="Times New Roman"/>
          <w:b/>
        </w:rPr>
      </w:pPr>
    </w:p>
    <w:p w:rsidR="00992D98" w:rsidRDefault="00992D98">
      <w:pPr>
        <w:rPr>
          <w:rFonts w:eastAsia="宋体" w:cs="Times New Roman"/>
          <w:b/>
        </w:rPr>
      </w:pPr>
    </w:p>
    <w:p w:rsidR="00992D98" w:rsidRDefault="00992D98">
      <w:pPr>
        <w:rPr>
          <w:rFonts w:eastAsia="宋体" w:cs="Times New Roman" w:hint="eastAsia"/>
          <w:b/>
        </w:rPr>
      </w:pPr>
    </w:p>
    <w:p w:rsidR="00992D98" w:rsidRDefault="00000000">
      <w:pPr>
        <w:pStyle w:val="ab"/>
        <w:numPr>
          <w:ilvl w:val="0"/>
          <w:numId w:val="4"/>
        </w:numPr>
        <w:ind w:left="0" w:firstLineChars="0" w:firstLine="0"/>
        <w:rPr>
          <w:rFonts w:eastAsia="宋体"/>
        </w:rPr>
      </w:pPr>
      <w:r>
        <w:rPr>
          <w:rFonts w:eastAsia="宋体"/>
        </w:rPr>
        <w:t>将</w:t>
      </w:r>
      <w:r>
        <w:rPr>
          <w:rFonts w:eastAsia="宋体" w:hint="eastAsia"/>
        </w:rPr>
        <w:t>上述混合均匀的细胞悬液</w:t>
      </w:r>
      <w:r>
        <w:rPr>
          <w:rFonts w:eastAsia="宋体"/>
        </w:rPr>
        <w:t>倒入</w:t>
      </w:r>
      <w:r>
        <w:rPr>
          <w:rFonts w:eastAsia="宋体"/>
        </w:rPr>
        <w:t>12</w:t>
      </w:r>
      <w:r>
        <w:rPr>
          <w:rFonts w:eastAsia="宋体"/>
        </w:rPr>
        <w:t>道管槽中，用</w:t>
      </w:r>
      <w:r>
        <w:rPr>
          <w:rFonts w:eastAsia="宋体"/>
        </w:rPr>
        <w:t>12</w:t>
      </w:r>
      <w:r>
        <w:rPr>
          <w:rFonts w:eastAsia="宋体"/>
        </w:rPr>
        <w:t>道排枪吸取</w:t>
      </w:r>
      <w:r>
        <w:rPr>
          <w:rFonts w:eastAsia="宋体"/>
        </w:rPr>
        <w:t xml:space="preserve">150 </w:t>
      </w:r>
      <w:r>
        <w:rPr>
          <w:rFonts w:eastAsia="宋体" w:cs="Times New Roman"/>
        </w:rPr>
        <w:t>µ</w:t>
      </w:r>
      <w:r>
        <w:rPr>
          <w:rFonts w:eastAsia="宋体"/>
        </w:rPr>
        <w:t>l/</w:t>
      </w:r>
      <w:r>
        <w:rPr>
          <w:rFonts w:eastAsia="宋体"/>
        </w:rPr>
        <w:t>孔加入</w:t>
      </w:r>
      <w:r>
        <w:rPr>
          <w:rFonts w:eastAsia="宋体"/>
        </w:rPr>
        <w:t>96</w:t>
      </w:r>
      <w:r>
        <w:rPr>
          <w:rFonts w:eastAsia="宋体"/>
        </w:rPr>
        <w:t>孔板中，铺三板。置于</w:t>
      </w:r>
      <w:r>
        <w:rPr>
          <w:rFonts w:eastAsia="宋体"/>
        </w:rPr>
        <w:t xml:space="preserve">37 </w:t>
      </w:r>
      <w:r>
        <w:rPr>
          <w:rFonts w:eastAsia="宋体" w:hint="eastAsia"/>
        </w:rPr>
        <w:t>℃</w:t>
      </w:r>
      <w:r>
        <w:rPr>
          <w:rFonts w:eastAsia="宋体"/>
        </w:rPr>
        <w:t>、</w:t>
      </w:r>
      <w:r>
        <w:rPr>
          <w:rFonts w:eastAsia="宋体"/>
        </w:rPr>
        <w:t>5% CO</w:t>
      </w:r>
      <w:r>
        <w:rPr>
          <w:rFonts w:eastAsia="宋体"/>
          <w:vertAlign w:val="subscript"/>
        </w:rPr>
        <w:t>2</w:t>
      </w:r>
      <w:r>
        <w:rPr>
          <w:rFonts w:eastAsia="宋体"/>
        </w:rPr>
        <w:t>培养箱中静置培养，保持一周不动。</w:t>
      </w:r>
    </w:p>
    <w:p w:rsidR="00992D98" w:rsidRDefault="00000000">
      <w:pPr>
        <w:pStyle w:val="ab"/>
        <w:ind w:firstLineChars="0" w:firstLine="0"/>
        <w:rPr>
          <w:rFonts w:eastAsia="宋体"/>
        </w:rPr>
      </w:pPr>
      <w:r>
        <w:rPr>
          <w:rFonts w:eastAsia="宋体" w:cs="Times New Roman"/>
          <w:noProof/>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60960</wp:posOffset>
                </wp:positionV>
                <wp:extent cx="6122670" cy="485775"/>
                <wp:effectExtent l="7620" t="8255" r="22860" b="20320"/>
                <wp:wrapNone/>
                <wp:docPr id="1" name="文本框 1"/>
                <wp:cNvGraphicFramePr/>
                <a:graphic xmlns:a="http://schemas.openxmlformats.org/drawingml/2006/main">
                  <a:graphicData uri="http://schemas.microsoft.com/office/word/2010/wordprocessingShape">
                    <wps:wsp>
                      <wps:cNvSpPr txBox="1"/>
                      <wps:spPr>
                        <a:xfrm>
                          <a:off x="0" y="0"/>
                          <a:ext cx="6122670" cy="485775"/>
                        </a:xfrm>
                        <a:prstGeom prst="rect">
                          <a:avLst/>
                        </a:prstGeom>
                        <a:solidFill>
                          <a:srgbClr val="FFFFFF"/>
                        </a:solidFill>
                        <a:ln w="15875" cap="flat" cmpd="sng">
                          <a:solidFill>
                            <a:srgbClr val="5A5A5A"/>
                          </a:solidFill>
                          <a:prstDash val="dash"/>
                          <a:miter/>
                          <a:headEnd type="none" w="med" len="med"/>
                          <a:tailEnd type="none" w="med" len="med"/>
                        </a:ln>
                      </wps:spPr>
                      <wps:txbx>
                        <w:txbxContent>
                          <w:p w:rsidR="00992D98" w:rsidRDefault="00000000">
                            <w:pPr>
                              <w:pStyle w:val="ac"/>
                              <w:rPr>
                                <w:rFonts w:ascii="宋体" w:eastAsia="宋体" w:hAnsi="宋体"/>
                                <w:b/>
                                <w:color w:val="000000" w:themeColor="text1"/>
                                <w:sz w:val="18"/>
                                <w:szCs w:val="18"/>
                              </w:rPr>
                            </w:pPr>
                            <w:r>
                              <w:rPr>
                                <w:rFonts w:ascii="宋体" w:eastAsia="宋体" w:hAnsi="宋体" w:hint="eastAsia"/>
                                <w:b/>
                                <w:color w:val="000000" w:themeColor="text1"/>
                                <w:sz w:val="18"/>
                                <w:szCs w:val="18"/>
                              </w:rPr>
                              <w:t>注意事项：</w:t>
                            </w:r>
                          </w:p>
                          <w:p w:rsidR="00992D98" w:rsidRDefault="00000000">
                            <w:pPr>
                              <w:pStyle w:val="ab"/>
                              <w:numPr>
                                <w:ilvl w:val="0"/>
                                <w:numId w:val="6"/>
                              </w:numPr>
                              <w:ind w:firstLineChars="0"/>
                              <w:rPr>
                                <w:rFonts w:ascii="宋体" w:eastAsia="宋体" w:hAnsi="宋体"/>
                                <w:color w:val="000000" w:themeColor="text1"/>
                                <w:sz w:val="18"/>
                                <w:szCs w:val="18"/>
                              </w:rPr>
                            </w:pPr>
                            <w:r>
                              <w:rPr>
                                <w:rFonts w:ascii="宋体" w:eastAsia="宋体" w:hAnsi="宋体" w:hint="eastAsia"/>
                                <w:color w:val="000000" w:themeColor="text1"/>
                                <w:sz w:val="18"/>
                                <w:szCs w:val="18"/>
                              </w:rPr>
                              <w:t>接种时，</w:t>
                            </w:r>
                            <w:r>
                              <w:rPr>
                                <w:rFonts w:ascii="宋体" w:eastAsia="宋体" w:hAnsi="宋体" w:cs="Times New Roman" w:hint="eastAsia"/>
                                <w:color w:val="000000" w:themeColor="text1"/>
                                <w:sz w:val="18"/>
                                <w:szCs w:val="18"/>
                              </w:rPr>
                              <w:t>细胞悬液需混合均匀，铺板细胞较多时，分批倒入混合均匀的细胞悬液。</w:t>
                            </w:r>
                          </w:p>
                        </w:txbxContent>
                      </wps:txbx>
                      <wps:bodyPr wrap="square" upright="1">
                        <a:noAutofit/>
                      </wps:bodyPr>
                    </wps:wsp>
                  </a:graphicData>
                </a:graphic>
              </wp:anchor>
            </w:drawing>
          </mc:Choice>
          <mc:Fallback xmlns:wpsCustomData="http://www.wps.cn/officeDocument/2013/wpsCustomData">
            <w:pict>
              <v:shape id="_x0000_s1026" o:spid="_x0000_s1026" o:spt="202" type="#_x0000_t202" style="position:absolute;left:0pt;margin-left:2.25pt;margin-top:4.8pt;height:38.25pt;width:482.1pt;z-index:251660288;mso-width-relative:page;mso-height-relative:page;" fillcolor="#FFFFFF" filled="t" stroked="t" coordsize="21600,21600" o:gfxdata="UEsDBAoAAAAAAIdO4kAAAAAAAAAAAAAAAAAEAAAAZHJzL1BLAwQUAAAACACHTuJAe87TM9YAAAAG&#10;AQAADwAAAGRycy9kb3ducmV2LnhtbE2Oy07DMBBF90j8gzVI7KjjACENmXTBQ2JRKtHH3o2nSdR4&#10;HMVuG/4es4Ll1b0695SLyfbiTKPvHCOoWQKCuHam4wZhu3m/y0H4oNno3jEhfJOHRXV9VerCuAt/&#10;0XkdGhEh7AuN0IYwFFL6uiWr/cwNxLE7uNHqEOPYSDPqS4TbXqZJkkmrO44PrR7opaX6uD5ZhM/j&#10;R5quNup19+ZJTYflannvCfH2RiXPIAJN4W8Mv/pRHarotHcnNl70CA+PcYgwz0DEdp7lTyD2CHmm&#10;QFal/K9f/QBQSwMEFAAAAAgAh07iQEWAHJwfAgAAXgQAAA4AAABkcnMvZTJvRG9jLnhtbK1Uy67T&#10;MBDdI/EPlvc0bUUfippeXShlgwDpwge4fiSW/MJ2m/QH4A9YsWHPd/U7GDuhva9FFyRSOvaMz8w5&#10;M+7qptMKHbgP0poKT0ZjjLihlklTV/jrl+2rJUYhEsOIsoZX+MgDvlm/fLFqXcmntrGKcY8AxISy&#10;dRVuYnRlUQTacE3CyDpuwCms1yTC0tcF86QFdK2K6Xg8L1rrmfOW8hBgd9M78YDorwG0QkjKN5bu&#10;NTexR/VckQiUQiNdwOtcrRCcxk9CBB6RqjAwjfkLScDepW+xXpGy9sQ1kg4lkGtKeMRJE2kg6Rlq&#10;QyJBey+fQGlJvQ1WxBG1uuiJZEWAxWT8SJu7hjieuYDUwZ1FD/8Pln48fPZIMpgEjAzR0PDTzx+n&#10;X39Ov7+jSZKndaGEqDsHcbF7Y7sUOuwH2EysO+F1+gU+CPwg7vEsLu8iorA5n0yn8wW4KPheL2eL&#10;xSzBFJfTzof4nluNklFhD83LmpLDhxD70H8hKVmwSrKtVCovfL17qzw6EGj0Nj8D+oMwZVAL9c+W&#10;kBxRAuMrYGzA1A4kCKbOCR8cCfeRZ7fpfQ45VbYhoekrYGClKFJqGbnPVsMJe2cYikcHKhu4XDgV&#10;oznDSHG4i8nKkZFIdU0kaKcMSJha1LciWbHbdQCTzJ1lR2hbC/MN7L7tiYece+dl3YDAk0zW2Nt9&#10;tEJmhS+HBlgYu9yj4Yqkub6/zlGXv4X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vO0zPWAAAA&#10;BgEAAA8AAAAAAAAAAQAgAAAAIgAAAGRycy9kb3ducmV2LnhtbFBLAQIUABQAAAAIAIdO4kBFgByc&#10;HwIAAF4EAAAOAAAAAAAAAAEAIAAAACUBAABkcnMvZTJvRG9jLnhtbFBLBQYAAAAABgAGAFkBAAC2&#10;BQAAAAA=&#10;">
                <v:fill on="t" focussize="0,0"/>
                <v:stroke weight="1.25pt" color="#5A5A5A" joinstyle="miter" dashstyle="dash"/>
                <v:imagedata o:title=""/>
                <o:lock v:ext="edit" aspectratio="f"/>
                <v:textbox>
                  <w:txbxContent>
                    <w:p>
                      <w:pPr>
                        <w:pStyle w:val="12"/>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注意事项：</w:t>
                      </w:r>
                    </w:p>
                    <w:p>
                      <w:pPr>
                        <w:pStyle w:val="11"/>
                        <w:numPr>
                          <w:ilvl w:val="0"/>
                          <w:numId w:val="6"/>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接种时，</w:t>
                      </w:r>
                      <w:r>
                        <w:rPr>
                          <w:rFonts w:hint="eastAsia" w:ascii="宋体" w:hAnsi="宋体" w:eastAsia="宋体" w:cs="Times New Roman"/>
                          <w:color w:val="000000" w:themeColor="text1"/>
                          <w:sz w:val="18"/>
                          <w:szCs w:val="18"/>
                          <w14:textFill>
                            <w14:solidFill>
                              <w14:schemeClr w14:val="tx1"/>
                            </w14:solidFill>
                          </w14:textFill>
                        </w:rPr>
                        <w:t>细胞悬液需混合均匀，铺板细胞较多时，分批倒入混合均匀的细胞悬液。</w:t>
                      </w:r>
                    </w:p>
                  </w:txbxContent>
                </v:textbox>
              </v:shape>
            </w:pict>
          </mc:Fallback>
        </mc:AlternateContent>
      </w:r>
    </w:p>
    <w:p w:rsidR="00992D98" w:rsidRDefault="00992D98">
      <w:pPr>
        <w:pStyle w:val="ab"/>
        <w:ind w:firstLineChars="0" w:firstLine="0"/>
        <w:rPr>
          <w:rFonts w:eastAsia="宋体" w:cs="Times New Roman"/>
        </w:rPr>
      </w:pPr>
    </w:p>
    <w:p w:rsidR="00992D98" w:rsidRDefault="00000000">
      <w:pPr>
        <w:pStyle w:val="ab"/>
        <w:numPr>
          <w:ilvl w:val="0"/>
          <w:numId w:val="4"/>
        </w:numPr>
        <w:ind w:left="0" w:firstLineChars="0" w:firstLine="0"/>
        <w:rPr>
          <w:rFonts w:eastAsia="宋体"/>
        </w:rPr>
      </w:pPr>
      <w:r>
        <w:rPr>
          <w:rFonts w:eastAsia="宋体"/>
        </w:rPr>
        <w:t>一周之后观察细胞，</w:t>
      </w:r>
      <w:r>
        <w:rPr>
          <w:rFonts w:eastAsia="宋体" w:hint="eastAsia"/>
        </w:rPr>
        <w:t>在孔板上方标记</w:t>
      </w:r>
      <w:r>
        <w:rPr>
          <w:rFonts w:eastAsia="宋体"/>
        </w:rPr>
        <w:t>出长势较佳的</w:t>
      </w:r>
      <w:r>
        <w:rPr>
          <w:rFonts w:eastAsia="宋体" w:hint="eastAsia"/>
        </w:rPr>
        <w:t>克隆</w:t>
      </w:r>
      <w:r>
        <w:rPr>
          <w:rFonts w:eastAsia="宋体"/>
        </w:rPr>
        <w:t>，</w:t>
      </w:r>
      <w:r>
        <w:rPr>
          <w:rFonts w:eastAsia="宋体" w:hint="eastAsia"/>
        </w:rPr>
        <w:t>根据需求进行相关阳性检测，挑选表达量更高的克隆株进行扩增冻存，根据需求是否进行二次亚克隆。</w:t>
      </w:r>
    </w:p>
    <w:p w:rsidR="00992D98" w:rsidRDefault="00000000">
      <w:pPr>
        <w:ind w:firstLineChars="200" w:firstLine="480"/>
        <w:rPr>
          <w:rFonts w:eastAsia="宋体"/>
        </w:rPr>
      </w:pPr>
      <w:r>
        <w:rPr>
          <w:rFonts w:eastAsia="宋体" w:hint="eastAsia"/>
        </w:rPr>
        <w:t>经</w:t>
      </w:r>
      <w:r>
        <w:rPr>
          <w:rFonts w:eastAsia="宋体" w:hint="eastAsia"/>
          <w:b/>
          <w:bCs/>
        </w:rPr>
        <w:t>KD-</w:t>
      </w:r>
      <w:proofErr w:type="spellStart"/>
      <w:r>
        <w:rPr>
          <w:rFonts w:eastAsia="宋体" w:hint="eastAsia"/>
          <w:b/>
          <w:bCs/>
        </w:rPr>
        <w:t>HybriGro</w:t>
      </w:r>
      <w:proofErr w:type="spellEnd"/>
      <w:r>
        <w:rPr>
          <w:rFonts w:eastAsia="宋体" w:hint="eastAsia"/>
        </w:rPr>
        <w:t>克隆的杂交瘤细胞株能够快速适应无血清培养，客户经无血清驯化后的细胞株，建议建立无血清细胞株工作库，每次</w:t>
      </w:r>
      <w:r>
        <w:rPr>
          <w:rFonts w:eastAsia="宋体"/>
        </w:rPr>
        <w:t>复苏工作细胞</w:t>
      </w:r>
      <w:r>
        <w:rPr>
          <w:rFonts w:eastAsia="宋体" w:hint="eastAsia"/>
        </w:rPr>
        <w:t>培养</w:t>
      </w:r>
      <w:r>
        <w:rPr>
          <w:rFonts w:eastAsia="宋体" w:hint="eastAsia"/>
        </w:rPr>
        <w:t>3-4</w:t>
      </w:r>
      <w:r>
        <w:rPr>
          <w:rFonts w:eastAsia="宋体" w:hint="eastAsia"/>
        </w:rPr>
        <w:t>代收集表达抗体后细胞丢弃更换新鲜细胞培养收集抗体上清。杂交瘤细胞</w:t>
      </w:r>
      <w:r>
        <w:rPr>
          <w:rFonts w:eastAsia="宋体"/>
        </w:rPr>
        <w:t>长期培养抗性容易丢失</w:t>
      </w:r>
      <w:r>
        <w:rPr>
          <w:rFonts w:eastAsia="宋体" w:hint="eastAsia"/>
        </w:rPr>
        <w:t>，对细胞株进行亚克隆可以有效地筛选更单一有效表达细胞株，建立亚克隆工作库，保障抗体的高效快捷生产。</w:t>
      </w:r>
    </w:p>
    <w:p w:rsidR="00992D98" w:rsidRDefault="00000000">
      <w:pPr>
        <w:spacing w:line="324" w:lineRule="auto"/>
        <w:rPr>
          <w:rFonts w:eastAsia="宋体" w:cs="Times New Roman"/>
          <w:b/>
          <w:szCs w:val="21"/>
        </w:rPr>
      </w:pPr>
      <w:r>
        <w:rPr>
          <w:rFonts w:eastAsia="宋体" w:cs="Times New Roman"/>
          <w:b/>
          <w:szCs w:val="21"/>
        </w:rPr>
        <w:br w:type="page"/>
      </w:r>
    </w:p>
    <w:p w:rsidR="00992D98" w:rsidRDefault="00000000">
      <w:pPr>
        <w:spacing w:line="324" w:lineRule="auto"/>
        <w:rPr>
          <w:rFonts w:eastAsia="宋体" w:cs="Times New Roman"/>
          <w:b/>
          <w:sz w:val="28"/>
          <w:szCs w:val="28"/>
        </w:rPr>
      </w:pPr>
      <w:r>
        <w:rPr>
          <w:rFonts w:eastAsia="宋体" w:cs="Times New Roman"/>
          <w:b/>
          <w:sz w:val="28"/>
          <w:szCs w:val="28"/>
        </w:rPr>
        <w:lastRenderedPageBreak/>
        <w:t>附录</w:t>
      </w:r>
      <w:r>
        <w:rPr>
          <w:rFonts w:eastAsia="宋体" w:cs="Times New Roman"/>
          <w:b/>
          <w:sz w:val="28"/>
          <w:szCs w:val="28"/>
        </w:rPr>
        <w:t>:</w:t>
      </w:r>
    </w:p>
    <w:p w:rsidR="00992D98" w:rsidRDefault="00000000">
      <w:pPr>
        <w:spacing w:line="324" w:lineRule="auto"/>
        <w:jc w:val="center"/>
        <w:rPr>
          <w:rFonts w:eastAsia="宋体" w:cs="Times New Roman"/>
          <w:szCs w:val="21"/>
        </w:rPr>
      </w:pPr>
      <w:r>
        <w:rPr>
          <w:rFonts w:eastAsia="宋体" w:cs="Times New Roman" w:hint="eastAsia"/>
          <w:szCs w:val="21"/>
        </w:rPr>
        <w:t>附录</w:t>
      </w:r>
      <w:r>
        <w:rPr>
          <w:rFonts w:eastAsia="宋体" w:cs="Times New Roman"/>
          <w:szCs w:val="21"/>
        </w:rPr>
        <w:t>：试剂说明</w:t>
      </w:r>
    </w:p>
    <w:tbl>
      <w:tblPr>
        <w:tblStyle w:val="aa"/>
        <w:tblW w:w="9962" w:type="dxa"/>
        <w:jc w:val="center"/>
        <w:tblBorders>
          <w:top w:val="single" w:sz="8" w:space="0" w:color="5B9BD5" w:themeColor="accent1"/>
          <w:left w:val="none" w:sz="0" w:space="0" w:color="auto"/>
          <w:bottom w:val="single" w:sz="8" w:space="0" w:color="5B9BD5"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2515"/>
        <w:gridCol w:w="7447"/>
      </w:tblGrid>
      <w:tr w:rsidR="00992D98">
        <w:trPr>
          <w:trHeight w:val="567"/>
          <w:jc w:val="center"/>
        </w:trPr>
        <w:tc>
          <w:tcPr>
            <w:tcW w:w="2515" w:type="dxa"/>
            <w:tcBorders>
              <w:top w:val="single" w:sz="12" w:space="0" w:color="5B9BD5" w:themeColor="accent1"/>
              <w:bottom w:val="single" w:sz="12" w:space="0" w:color="5B9BD5" w:themeColor="accent1"/>
              <w:right w:val="single" w:sz="8" w:space="0" w:color="5B9BD5" w:themeColor="accent1"/>
            </w:tcBorders>
            <w:vAlign w:val="center"/>
          </w:tcPr>
          <w:p w:rsidR="00992D98" w:rsidRDefault="00000000">
            <w:pPr>
              <w:spacing w:line="324" w:lineRule="auto"/>
              <w:jc w:val="center"/>
              <w:rPr>
                <w:rFonts w:eastAsia="宋体" w:cs="Times New Roman"/>
                <w:b/>
              </w:rPr>
            </w:pPr>
            <w:r>
              <w:rPr>
                <w:rFonts w:eastAsia="宋体" w:cs="Times New Roman"/>
                <w:b/>
              </w:rPr>
              <w:t>产品名称</w:t>
            </w:r>
          </w:p>
        </w:tc>
        <w:tc>
          <w:tcPr>
            <w:tcW w:w="7447" w:type="dxa"/>
            <w:tcBorders>
              <w:top w:val="single" w:sz="12" w:space="0" w:color="5B9BD5" w:themeColor="accent1"/>
              <w:left w:val="single" w:sz="8" w:space="0" w:color="5B9BD5" w:themeColor="accent1"/>
              <w:bottom w:val="single" w:sz="12" w:space="0" w:color="5B9BD5" w:themeColor="accent1"/>
            </w:tcBorders>
            <w:vAlign w:val="center"/>
          </w:tcPr>
          <w:p w:rsidR="00992D98" w:rsidRDefault="00000000">
            <w:pPr>
              <w:jc w:val="center"/>
              <w:rPr>
                <w:rFonts w:eastAsia="宋体" w:cs="Times New Roman"/>
                <w:b/>
              </w:rPr>
            </w:pPr>
            <w:r>
              <w:rPr>
                <w:rFonts w:eastAsia="宋体" w:cs="Times New Roman"/>
                <w:b/>
              </w:rPr>
              <w:t>说明</w:t>
            </w:r>
          </w:p>
        </w:tc>
      </w:tr>
      <w:tr w:rsidR="00992D98">
        <w:trPr>
          <w:trHeight w:val="951"/>
          <w:jc w:val="center"/>
        </w:trPr>
        <w:tc>
          <w:tcPr>
            <w:tcW w:w="2515" w:type="dxa"/>
            <w:tcBorders>
              <w:top w:val="single" w:sz="12" w:space="0" w:color="5B9BD5" w:themeColor="accent1"/>
              <w:bottom w:val="single" w:sz="8" w:space="0" w:color="5B9BD5" w:themeColor="accent1"/>
              <w:right w:val="single" w:sz="8" w:space="0" w:color="5B9BD5" w:themeColor="accent1"/>
            </w:tcBorders>
            <w:vAlign w:val="center"/>
          </w:tcPr>
          <w:p w:rsidR="00992D98" w:rsidRDefault="00000000">
            <w:pPr>
              <w:spacing w:line="324" w:lineRule="auto"/>
              <w:jc w:val="center"/>
              <w:rPr>
                <w:rFonts w:eastAsia="宋体" w:cs="Times New Roman"/>
                <w:b/>
              </w:rPr>
            </w:pPr>
            <w:r>
              <w:rPr>
                <w:rFonts w:eastAsia="宋体" w:cs="Times New Roman"/>
              </w:rPr>
              <w:t>KD-Clone</w:t>
            </w:r>
          </w:p>
        </w:tc>
        <w:tc>
          <w:tcPr>
            <w:tcW w:w="7447" w:type="dxa"/>
            <w:tcBorders>
              <w:top w:val="single" w:sz="12" w:space="0" w:color="5B9BD5" w:themeColor="accent1"/>
              <w:left w:val="single" w:sz="8" w:space="0" w:color="5B9BD5" w:themeColor="accent1"/>
              <w:bottom w:val="single" w:sz="8" w:space="0" w:color="5B9BD5" w:themeColor="accent1"/>
            </w:tcBorders>
            <w:vAlign w:val="center"/>
          </w:tcPr>
          <w:p w:rsidR="00992D98" w:rsidRDefault="00000000">
            <w:pPr>
              <w:rPr>
                <w:rFonts w:eastAsia="宋体" w:cs="Times New Roman"/>
              </w:rPr>
            </w:pPr>
            <w:r>
              <w:rPr>
                <w:rFonts w:eastAsia="宋体" w:cs="Times New Roman"/>
              </w:rPr>
              <w:t>KD-Clone</w:t>
            </w:r>
            <w:r>
              <w:rPr>
                <w:rFonts w:eastAsia="宋体" w:hint="eastAsia"/>
              </w:rPr>
              <w:t>为化学限定无血清系列基础培养液，分别添加不同组合的生长因子后可用于多种细胞的亚克隆。培养液化学成份明确，不含血清及其它动物成份。</w:t>
            </w:r>
          </w:p>
        </w:tc>
      </w:tr>
      <w:tr w:rsidR="00992D98">
        <w:trPr>
          <w:trHeight w:val="1052"/>
          <w:jc w:val="center"/>
        </w:trPr>
        <w:tc>
          <w:tcPr>
            <w:tcW w:w="2515" w:type="dxa"/>
            <w:tcBorders>
              <w:top w:val="single" w:sz="8" w:space="0" w:color="5B9BD5" w:themeColor="accent1"/>
              <w:bottom w:val="single" w:sz="8" w:space="0" w:color="5B9BD5" w:themeColor="accent1"/>
              <w:right w:val="single" w:sz="8" w:space="0" w:color="5B9BD5" w:themeColor="accent1"/>
            </w:tcBorders>
            <w:vAlign w:val="center"/>
          </w:tcPr>
          <w:p w:rsidR="00992D98" w:rsidRDefault="00000000">
            <w:pPr>
              <w:spacing w:line="324" w:lineRule="auto"/>
              <w:jc w:val="center"/>
              <w:rPr>
                <w:rFonts w:eastAsia="宋体" w:cs="Times New Roman"/>
                <w:b/>
                <w:bCs/>
              </w:rPr>
            </w:pPr>
            <w:r>
              <w:rPr>
                <w:rFonts w:eastAsia="宋体" w:cs="Times New Roman"/>
                <w:b/>
                <w:bCs/>
              </w:rPr>
              <w:t>KD-</w:t>
            </w:r>
            <w:proofErr w:type="spellStart"/>
            <w:r>
              <w:rPr>
                <w:rFonts w:eastAsia="宋体" w:cs="Times New Roman"/>
                <w:b/>
                <w:bCs/>
              </w:rPr>
              <w:t>HybriGro</w:t>
            </w:r>
            <w:proofErr w:type="spellEnd"/>
          </w:p>
        </w:tc>
        <w:tc>
          <w:tcPr>
            <w:tcW w:w="7447" w:type="dxa"/>
            <w:tcBorders>
              <w:top w:val="single" w:sz="8" w:space="0" w:color="5B9BD5" w:themeColor="accent1"/>
              <w:left w:val="single" w:sz="8" w:space="0" w:color="5B9BD5" w:themeColor="accent1"/>
              <w:bottom w:val="single" w:sz="8" w:space="0" w:color="5B9BD5" w:themeColor="accent1"/>
            </w:tcBorders>
            <w:vAlign w:val="center"/>
          </w:tcPr>
          <w:p w:rsidR="00992D98" w:rsidRDefault="00000000">
            <w:pPr>
              <w:rPr>
                <w:rFonts w:eastAsia="宋体" w:cs="Times New Roman"/>
              </w:rPr>
            </w:pPr>
            <w:r>
              <w:rPr>
                <w:rFonts w:eastAsia="宋体" w:cs="Times New Roman" w:hint="eastAsia"/>
              </w:rPr>
              <w:t>杂交瘤促生长组合因子，可有效提高杂交瘤克隆细胞单细胞或多细胞的增殖分裂，提高细胞活性，增加克隆率。</w:t>
            </w:r>
          </w:p>
        </w:tc>
      </w:tr>
      <w:tr w:rsidR="00992D98">
        <w:trPr>
          <w:trHeight w:val="729"/>
          <w:jc w:val="center"/>
        </w:trPr>
        <w:tc>
          <w:tcPr>
            <w:tcW w:w="2515" w:type="dxa"/>
            <w:tcBorders>
              <w:top w:val="single" w:sz="8" w:space="0" w:color="5B9BD5" w:themeColor="accent1"/>
              <w:bottom w:val="single" w:sz="8" w:space="0" w:color="5B9BD5" w:themeColor="accent1"/>
              <w:right w:val="single" w:sz="8" w:space="0" w:color="5B9BD5" w:themeColor="accent1"/>
            </w:tcBorders>
            <w:vAlign w:val="center"/>
          </w:tcPr>
          <w:p w:rsidR="00992D98" w:rsidRDefault="00000000">
            <w:pPr>
              <w:spacing w:line="324" w:lineRule="auto"/>
              <w:jc w:val="center"/>
              <w:rPr>
                <w:rFonts w:eastAsia="宋体" w:cs="Times New Roman"/>
              </w:rPr>
            </w:pPr>
            <w:proofErr w:type="spellStart"/>
            <w:r>
              <w:rPr>
                <w:rFonts w:eastAsia="宋体" w:cs="Times New Roman"/>
              </w:rPr>
              <w:t>ITSPlus</w:t>
            </w:r>
            <w:proofErr w:type="spellEnd"/>
          </w:p>
        </w:tc>
        <w:tc>
          <w:tcPr>
            <w:tcW w:w="7447" w:type="dxa"/>
            <w:tcBorders>
              <w:top w:val="single" w:sz="8" w:space="0" w:color="5B9BD5" w:themeColor="accent1"/>
              <w:left w:val="single" w:sz="8" w:space="0" w:color="5B9BD5" w:themeColor="accent1"/>
              <w:bottom w:val="single" w:sz="8" w:space="0" w:color="5B9BD5" w:themeColor="accent1"/>
            </w:tcBorders>
            <w:vAlign w:val="center"/>
          </w:tcPr>
          <w:p w:rsidR="00992D98" w:rsidRDefault="00000000">
            <w:pPr>
              <w:rPr>
                <w:rFonts w:eastAsia="宋体" w:cs="Times New Roman"/>
              </w:rPr>
            </w:pPr>
            <w:r>
              <w:rPr>
                <w:rFonts w:eastAsia="宋体" w:cs="Times New Roman" w:hint="eastAsia"/>
              </w:rPr>
              <w:t>基础添加因子，人重组蛋白（</w:t>
            </w:r>
            <w:r>
              <w:rPr>
                <w:rFonts w:eastAsia="宋体" w:cs="Times New Roman"/>
              </w:rPr>
              <w:t>IGF-1,Transferrin,HSA</w:t>
            </w:r>
            <w:r>
              <w:rPr>
                <w:rFonts w:eastAsia="宋体" w:cs="Times New Roman" w:hint="eastAsia"/>
              </w:rPr>
              <w:t>）以及</w:t>
            </w:r>
            <w:r>
              <w:rPr>
                <w:rFonts w:eastAsia="宋体" w:cs="Times New Roman"/>
              </w:rPr>
              <w:t>Selenium</w:t>
            </w:r>
            <w:r>
              <w:rPr>
                <w:rFonts w:eastAsia="宋体" w:cs="Times New Roman" w:hint="eastAsia"/>
              </w:rPr>
              <w:t>等</w:t>
            </w:r>
          </w:p>
        </w:tc>
      </w:tr>
      <w:tr w:rsidR="00992D98">
        <w:trPr>
          <w:trHeight w:val="713"/>
          <w:jc w:val="center"/>
        </w:trPr>
        <w:tc>
          <w:tcPr>
            <w:tcW w:w="2515" w:type="dxa"/>
            <w:tcBorders>
              <w:top w:val="single" w:sz="8" w:space="0" w:color="5B9BD5" w:themeColor="accent1"/>
              <w:bottom w:val="single" w:sz="8" w:space="0" w:color="5B9BD5" w:themeColor="accent1"/>
              <w:right w:val="single" w:sz="8" w:space="0" w:color="5B9BD5" w:themeColor="accent1"/>
            </w:tcBorders>
            <w:vAlign w:val="center"/>
          </w:tcPr>
          <w:p w:rsidR="00992D98" w:rsidRDefault="00000000">
            <w:pPr>
              <w:spacing w:line="324" w:lineRule="auto"/>
              <w:jc w:val="center"/>
              <w:rPr>
                <w:rFonts w:eastAsia="宋体" w:cs="Times New Roman"/>
              </w:rPr>
            </w:pPr>
            <w:r>
              <w:rPr>
                <w:rFonts w:eastAsia="宋体" w:cs="Times New Roman"/>
              </w:rPr>
              <w:t>FBS</w:t>
            </w:r>
          </w:p>
        </w:tc>
        <w:tc>
          <w:tcPr>
            <w:tcW w:w="7447" w:type="dxa"/>
            <w:tcBorders>
              <w:top w:val="single" w:sz="8" w:space="0" w:color="5B9BD5" w:themeColor="accent1"/>
              <w:left w:val="single" w:sz="8" w:space="0" w:color="5B9BD5" w:themeColor="accent1"/>
              <w:bottom w:val="single" w:sz="8" w:space="0" w:color="5B9BD5" w:themeColor="accent1"/>
            </w:tcBorders>
            <w:vAlign w:val="center"/>
          </w:tcPr>
          <w:p w:rsidR="00992D98" w:rsidRDefault="00000000">
            <w:pPr>
              <w:rPr>
                <w:rFonts w:eastAsia="宋体" w:cs="Times New Roman"/>
              </w:rPr>
            </w:pPr>
            <w:r>
              <w:rPr>
                <w:rFonts w:eastAsia="宋体" w:cs="Times New Roman" w:hint="eastAsia"/>
              </w:rPr>
              <w:t>胎牛血清（杂交瘤培养质量认证批次）</w:t>
            </w:r>
          </w:p>
        </w:tc>
      </w:tr>
    </w:tbl>
    <w:p w:rsidR="00992D98" w:rsidRDefault="00992D98">
      <w:pPr>
        <w:rPr>
          <w:rFonts w:eastAsia="宋体"/>
        </w:rPr>
      </w:pPr>
    </w:p>
    <w:p w:rsidR="00992D98" w:rsidRDefault="00992D98">
      <w:pPr>
        <w:rPr>
          <w:rFonts w:eastAsia="宋体"/>
        </w:rPr>
      </w:pPr>
    </w:p>
    <w:p w:rsidR="00992D98" w:rsidRDefault="00992D98">
      <w:pPr>
        <w:rPr>
          <w:rFonts w:eastAsia="宋体"/>
        </w:rPr>
      </w:pPr>
    </w:p>
    <w:p w:rsidR="00992D98" w:rsidRDefault="00992D98">
      <w:pPr>
        <w:rPr>
          <w:rFonts w:eastAsia="宋体"/>
        </w:rPr>
      </w:pPr>
    </w:p>
    <w:p w:rsidR="00992D98" w:rsidRDefault="00992D98">
      <w:pPr>
        <w:rPr>
          <w:rFonts w:eastAsia="宋体"/>
        </w:rPr>
      </w:pPr>
    </w:p>
    <w:p w:rsidR="00992D98" w:rsidRDefault="00992D98">
      <w:pPr>
        <w:rPr>
          <w:rFonts w:eastAsia="宋体"/>
        </w:rPr>
      </w:pPr>
    </w:p>
    <w:p w:rsidR="00992D98" w:rsidRDefault="00992D98">
      <w:pPr>
        <w:rPr>
          <w:rFonts w:eastAsia="宋体"/>
        </w:rPr>
      </w:pPr>
    </w:p>
    <w:p w:rsidR="00992D98" w:rsidRDefault="00992D98">
      <w:pPr>
        <w:rPr>
          <w:rFonts w:eastAsia="宋体"/>
        </w:rPr>
      </w:pPr>
    </w:p>
    <w:p w:rsidR="00992D98" w:rsidRDefault="00992D98">
      <w:pPr>
        <w:rPr>
          <w:rFonts w:eastAsia="宋体"/>
        </w:rPr>
      </w:pPr>
    </w:p>
    <w:p w:rsidR="00992D98" w:rsidRDefault="00000000">
      <w:pPr>
        <w:rPr>
          <w:rFonts w:eastAsia="宋体" w:cstheme="minorEastAsia"/>
          <w:szCs w:val="21"/>
        </w:rPr>
      </w:pPr>
      <w:r>
        <w:rPr>
          <w:rFonts w:eastAsia="宋体" w:cstheme="minorEastAsia"/>
          <w:szCs w:val="21"/>
        </w:rPr>
        <w:br w:type="page"/>
      </w:r>
    </w:p>
    <w:p w:rsidR="00992D98" w:rsidRDefault="00000000">
      <w:pPr>
        <w:rPr>
          <w:rFonts w:eastAsia="宋体" w:cstheme="minorEastAsia"/>
          <w:b/>
          <w:sz w:val="28"/>
          <w:szCs w:val="28"/>
        </w:rPr>
      </w:pPr>
      <w:r>
        <w:rPr>
          <w:rFonts w:eastAsia="宋体" w:cstheme="minorEastAsia" w:hint="eastAsia"/>
          <w:b/>
          <w:sz w:val="28"/>
          <w:szCs w:val="28"/>
        </w:rPr>
        <w:lastRenderedPageBreak/>
        <w:t>实验相关数据：</w:t>
      </w:r>
    </w:p>
    <w:p w:rsidR="00992D98" w:rsidRDefault="00992D98">
      <w:pPr>
        <w:rPr>
          <w:rFonts w:eastAsia="宋体" w:cstheme="minorEastAsia"/>
          <w:szCs w:val="21"/>
        </w:rPr>
      </w:pPr>
    </w:p>
    <w:p w:rsidR="00992D98" w:rsidRDefault="00000000">
      <w:pPr>
        <w:jc w:val="center"/>
        <w:rPr>
          <w:rFonts w:eastAsia="宋体"/>
        </w:rPr>
      </w:pPr>
      <w:r>
        <w:rPr>
          <w:rFonts w:eastAsia="宋体"/>
          <w:noProof/>
        </w:rPr>
        <w:drawing>
          <wp:inline distT="0" distB="0" distL="114300" distR="114300">
            <wp:extent cx="4990465" cy="2750820"/>
            <wp:effectExtent l="0" t="0" r="635" b="1143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2D98" w:rsidRDefault="00000000">
      <w:pPr>
        <w:jc w:val="left"/>
        <w:rPr>
          <w:rFonts w:eastAsia="宋体"/>
        </w:rPr>
      </w:pPr>
      <w:r>
        <w:rPr>
          <w:rFonts w:eastAsia="宋体" w:hint="eastAsia"/>
        </w:rPr>
        <w:t>实验</w:t>
      </w:r>
      <w:r>
        <w:rPr>
          <w:rFonts w:eastAsia="宋体" w:hint="eastAsia"/>
        </w:rPr>
        <w:t>1</w:t>
      </w:r>
      <w:r>
        <w:rPr>
          <w:rFonts w:eastAsia="宋体" w:hint="eastAsia"/>
        </w:rPr>
        <w:t>：在</w:t>
      </w:r>
      <w:r>
        <w:rPr>
          <w:rFonts w:eastAsia="宋体" w:hint="eastAsia"/>
        </w:rPr>
        <w:t>1%FBS</w:t>
      </w:r>
      <w:r>
        <w:rPr>
          <w:rFonts w:eastAsia="宋体" w:hint="eastAsia"/>
        </w:rPr>
        <w:t>的基础上添加重组生长因子</w:t>
      </w:r>
      <w:r>
        <w:rPr>
          <w:rFonts w:eastAsia="宋体" w:hint="eastAsia"/>
        </w:rPr>
        <w:t>a</w:t>
      </w:r>
      <w:r>
        <w:rPr>
          <w:rFonts w:eastAsia="宋体" w:hint="eastAsia"/>
        </w:rPr>
        <w:t>，杂交瘤细胞株</w:t>
      </w:r>
      <w:r>
        <w:rPr>
          <w:rFonts w:eastAsia="宋体" w:hint="eastAsia"/>
        </w:rPr>
        <w:t>A</w:t>
      </w:r>
      <w:r>
        <w:rPr>
          <w:rFonts w:eastAsia="宋体" w:hint="eastAsia"/>
        </w:rPr>
        <w:t>、</w:t>
      </w:r>
      <w:r>
        <w:rPr>
          <w:rFonts w:eastAsia="宋体" w:hint="eastAsia"/>
        </w:rPr>
        <w:t>B</w:t>
      </w:r>
      <w:r>
        <w:rPr>
          <w:rFonts w:eastAsia="宋体" w:hint="eastAsia"/>
        </w:rPr>
        <w:t>克隆效果可与</w:t>
      </w:r>
      <w:r>
        <w:rPr>
          <w:rFonts w:eastAsia="宋体" w:hint="eastAsia"/>
        </w:rPr>
        <w:t>10%FBS</w:t>
      </w:r>
      <w:r>
        <w:rPr>
          <w:rFonts w:eastAsia="宋体" w:hint="eastAsia"/>
        </w:rPr>
        <w:t>效果相同，较难克隆的细胞</w:t>
      </w:r>
      <w:r>
        <w:rPr>
          <w:rFonts w:eastAsia="宋体" w:hint="eastAsia"/>
        </w:rPr>
        <w:t>C</w:t>
      </w:r>
      <w:r>
        <w:rPr>
          <w:rFonts w:eastAsia="宋体" w:hint="eastAsia"/>
        </w:rPr>
        <w:t>，克隆数低于</w:t>
      </w:r>
      <w:r>
        <w:rPr>
          <w:rFonts w:eastAsia="宋体" w:hint="eastAsia"/>
        </w:rPr>
        <w:t>10%FBS</w:t>
      </w:r>
      <w:r>
        <w:rPr>
          <w:rFonts w:eastAsia="宋体" w:hint="eastAsia"/>
        </w:rPr>
        <w:t>。</w:t>
      </w:r>
    </w:p>
    <w:p w:rsidR="00992D98" w:rsidRDefault="00992D98">
      <w:pPr>
        <w:jc w:val="center"/>
        <w:rPr>
          <w:rFonts w:eastAsia="宋体"/>
        </w:rPr>
      </w:pPr>
    </w:p>
    <w:p w:rsidR="00992D98" w:rsidRDefault="00992D98">
      <w:pPr>
        <w:jc w:val="center"/>
        <w:rPr>
          <w:rFonts w:eastAsia="宋体"/>
        </w:rPr>
      </w:pPr>
    </w:p>
    <w:p w:rsidR="00992D98" w:rsidRDefault="00000000">
      <w:pPr>
        <w:jc w:val="center"/>
        <w:rPr>
          <w:rFonts w:eastAsia="宋体"/>
        </w:rPr>
      </w:pPr>
      <w:r>
        <w:rPr>
          <w:rFonts w:eastAsia="宋体"/>
          <w:noProof/>
        </w:rPr>
        <w:drawing>
          <wp:inline distT="0" distB="0" distL="114300" distR="114300">
            <wp:extent cx="4989195" cy="2583815"/>
            <wp:effectExtent l="0" t="0" r="1905" b="698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2D98" w:rsidRDefault="00000000">
      <w:pPr>
        <w:jc w:val="left"/>
        <w:rPr>
          <w:rFonts w:eastAsia="宋体"/>
        </w:rPr>
      </w:pPr>
      <w:r>
        <w:rPr>
          <w:rFonts w:eastAsia="宋体" w:hint="eastAsia"/>
        </w:rPr>
        <w:t>实验</w:t>
      </w:r>
      <w:r>
        <w:rPr>
          <w:rFonts w:eastAsia="宋体" w:hint="eastAsia"/>
        </w:rPr>
        <w:t>2</w:t>
      </w:r>
      <w:r>
        <w:rPr>
          <w:rFonts w:eastAsia="宋体" w:hint="eastAsia"/>
        </w:rPr>
        <w:t>：以较难克隆的细胞</w:t>
      </w:r>
      <w:r>
        <w:rPr>
          <w:rFonts w:eastAsia="宋体" w:hint="eastAsia"/>
        </w:rPr>
        <w:t>C</w:t>
      </w:r>
      <w:r>
        <w:rPr>
          <w:rFonts w:eastAsia="宋体" w:hint="eastAsia"/>
        </w:rPr>
        <w:t>进行实验，在</w:t>
      </w:r>
      <w:r>
        <w:rPr>
          <w:rFonts w:eastAsia="宋体" w:hint="eastAsia"/>
        </w:rPr>
        <w:t>1%FBS</w:t>
      </w:r>
      <w:r>
        <w:rPr>
          <w:rFonts w:eastAsia="宋体" w:hint="eastAsia"/>
        </w:rPr>
        <w:t>基础上添加促生长因子</w:t>
      </w:r>
      <w:r>
        <w:rPr>
          <w:rFonts w:eastAsia="宋体" w:hint="eastAsia"/>
        </w:rPr>
        <w:t>a</w:t>
      </w:r>
      <w:r>
        <w:rPr>
          <w:rFonts w:eastAsia="宋体" w:hint="eastAsia"/>
        </w:rPr>
        <w:t>、</w:t>
      </w:r>
      <w:r>
        <w:rPr>
          <w:rFonts w:eastAsia="宋体" w:hint="eastAsia"/>
        </w:rPr>
        <w:t>b</w:t>
      </w:r>
      <w:r>
        <w:rPr>
          <w:rFonts w:eastAsia="宋体" w:hint="eastAsia"/>
        </w:rPr>
        <w:t>的克隆细胞数可提高</w:t>
      </w:r>
      <w:r>
        <w:rPr>
          <w:rFonts w:eastAsia="宋体" w:hint="eastAsia"/>
        </w:rPr>
        <w:t>2</w:t>
      </w:r>
      <w:r>
        <w:rPr>
          <w:rFonts w:eastAsia="宋体" w:hint="eastAsia"/>
        </w:rPr>
        <w:t>倍。</w:t>
      </w:r>
    </w:p>
    <w:p w:rsidR="00992D98" w:rsidRDefault="00000000">
      <w:pPr>
        <w:jc w:val="center"/>
        <w:rPr>
          <w:rFonts w:eastAsia="宋体"/>
        </w:rPr>
      </w:pPr>
      <w:r>
        <w:rPr>
          <w:rFonts w:eastAsia="宋体"/>
          <w:noProof/>
        </w:rPr>
        <w:lastRenderedPageBreak/>
        <w:drawing>
          <wp:inline distT="0" distB="0" distL="114300" distR="114300">
            <wp:extent cx="5001260" cy="2854325"/>
            <wp:effectExtent l="0" t="0" r="8890" b="3175"/>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2D98" w:rsidRDefault="00992D98">
      <w:pPr>
        <w:jc w:val="center"/>
        <w:rPr>
          <w:rFonts w:eastAsia="宋体"/>
        </w:rPr>
      </w:pPr>
    </w:p>
    <w:p w:rsidR="00992D98" w:rsidRDefault="00000000">
      <w:pPr>
        <w:jc w:val="left"/>
        <w:rPr>
          <w:rFonts w:eastAsia="宋体"/>
        </w:rPr>
      </w:pPr>
      <w:r>
        <w:rPr>
          <w:rFonts w:eastAsia="宋体" w:hint="eastAsia"/>
        </w:rPr>
        <w:t>实验</w:t>
      </w:r>
      <w:r>
        <w:rPr>
          <w:rFonts w:eastAsia="宋体" w:hint="eastAsia"/>
        </w:rPr>
        <w:t>3</w:t>
      </w:r>
      <w:r>
        <w:rPr>
          <w:rFonts w:eastAsia="宋体" w:hint="eastAsia"/>
        </w:rPr>
        <w:t>：在</w:t>
      </w:r>
      <w:r>
        <w:rPr>
          <w:rFonts w:eastAsia="宋体" w:hint="eastAsia"/>
        </w:rPr>
        <w:t>1%FBS</w:t>
      </w:r>
      <w:r>
        <w:rPr>
          <w:rFonts w:eastAsia="宋体" w:hint="eastAsia"/>
        </w:rPr>
        <w:t>的基础上添加</w:t>
      </w:r>
      <w:r>
        <w:rPr>
          <w:rFonts w:eastAsia="宋体" w:hint="eastAsia"/>
        </w:rPr>
        <w:t>KD-</w:t>
      </w:r>
      <w:proofErr w:type="spellStart"/>
      <w:r>
        <w:rPr>
          <w:rFonts w:eastAsia="宋体" w:hint="eastAsia"/>
        </w:rPr>
        <w:t>HybriGro</w:t>
      </w:r>
      <w:proofErr w:type="spellEnd"/>
      <w:r>
        <w:rPr>
          <w:rFonts w:eastAsia="宋体" w:hint="eastAsia"/>
        </w:rPr>
        <w:t>，克隆效果效果接近</w:t>
      </w:r>
      <w:r>
        <w:rPr>
          <w:rFonts w:eastAsia="宋体" w:hint="eastAsia"/>
        </w:rPr>
        <w:t>10%FBS</w:t>
      </w:r>
      <w:r>
        <w:rPr>
          <w:rFonts w:eastAsia="宋体" w:hint="eastAsia"/>
        </w:rPr>
        <w:t>，对比</w:t>
      </w:r>
      <w:r>
        <w:rPr>
          <w:rFonts w:eastAsia="宋体" w:hint="eastAsia"/>
        </w:rPr>
        <w:t>1%FBS</w:t>
      </w:r>
      <w:r>
        <w:rPr>
          <w:rFonts w:eastAsia="宋体" w:hint="eastAsia"/>
        </w:rPr>
        <w:t>不添加</w:t>
      </w:r>
      <w:r>
        <w:rPr>
          <w:rFonts w:eastAsia="宋体" w:hint="eastAsia"/>
        </w:rPr>
        <w:t>KD-</w:t>
      </w:r>
      <w:proofErr w:type="spellStart"/>
      <w:r>
        <w:rPr>
          <w:rFonts w:eastAsia="宋体" w:hint="eastAsia"/>
        </w:rPr>
        <w:t>HybriGro</w:t>
      </w:r>
      <w:proofErr w:type="spellEnd"/>
      <w:r>
        <w:rPr>
          <w:rFonts w:eastAsia="宋体" w:hint="eastAsia"/>
        </w:rPr>
        <w:t>可明显提高细胞克隆数量，细胞株</w:t>
      </w:r>
      <w:r>
        <w:rPr>
          <w:rFonts w:eastAsia="宋体" w:hint="eastAsia"/>
        </w:rPr>
        <w:t>V1</w:t>
      </w:r>
      <w:r>
        <w:rPr>
          <w:rFonts w:eastAsia="宋体" w:hint="eastAsia"/>
        </w:rPr>
        <w:t>提高</w:t>
      </w:r>
      <w:r>
        <w:rPr>
          <w:rFonts w:eastAsia="宋体" w:hint="eastAsia"/>
        </w:rPr>
        <w:t>1.7</w:t>
      </w:r>
      <w:r>
        <w:rPr>
          <w:rFonts w:eastAsia="宋体" w:hint="eastAsia"/>
        </w:rPr>
        <w:t>倍，细胞株</w:t>
      </w:r>
      <w:r>
        <w:rPr>
          <w:rFonts w:eastAsia="宋体" w:hint="eastAsia"/>
        </w:rPr>
        <w:t>V2</w:t>
      </w:r>
      <w:r>
        <w:rPr>
          <w:rFonts w:eastAsia="宋体" w:hint="eastAsia"/>
        </w:rPr>
        <w:t>提高</w:t>
      </w:r>
      <w:r>
        <w:rPr>
          <w:rFonts w:eastAsia="宋体" w:hint="eastAsia"/>
        </w:rPr>
        <w:t>5.2</w:t>
      </w:r>
      <w:r>
        <w:rPr>
          <w:rFonts w:eastAsia="宋体" w:hint="eastAsia"/>
        </w:rPr>
        <w:t>倍。</w:t>
      </w:r>
    </w:p>
    <w:p w:rsidR="00992D98" w:rsidRDefault="00992D98">
      <w:pPr>
        <w:jc w:val="left"/>
        <w:rPr>
          <w:rFonts w:eastAsia="宋体"/>
        </w:rPr>
      </w:pPr>
    </w:p>
    <w:sectPr w:rsidR="00992D98">
      <w:headerReference w:type="default" r:id="rId12"/>
      <w:footerReference w:type="default" r:id="rId13"/>
      <w:pgSz w:w="11906" w:h="16838"/>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5D27" w:rsidRDefault="00135D27">
      <w:pPr>
        <w:spacing w:line="240" w:lineRule="auto"/>
      </w:pPr>
      <w:r>
        <w:separator/>
      </w:r>
    </w:p>
  </w:endnote>
  <w:endnote w:type="continuationSeparator" w:id="0">
    <w:p w:rsidR="00135D27" w:rsidRDefault="00135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251298"/>
    </w:sdtPr>
    <w:sdtContent>
      <w:sdt>
        <w:sdtPr>
          <w:id w:val="-1769616900"/>
        </w:sdtPr>
        <w:sdtContent>
          <w:p w:rsidR="00992D98" w:rsidRDefault="00000000">
            <w:pPr>
              <w:pStyle w:val="a5"/>
              <w:jc w:val="right"/>
            </w:pPr>
            <w:r>
              <w:rPr>
                <w:lang w:val="zh-CN"/>
              </w:rPr>
              <w:t xml:space="preserve"> </w:t>
            </w:r>
            <w:r>
              <w:rPr>
                <w:b/>
                <w:bCs/>
                <w:sz w:val="24"/>
              </w:rPr>
              <w:fldChar w:fldCharType="begin"/>
            </w:r>
            <w:r>
              <w:rPr>
                <w:b/>
                <w:bCs/>
              </w:rPr>
              <w:instrText>PAGE</w:instrText>
            </w:r>
            <w:r>
              <w:rPr>
                <w:b/>
                <w:bCs/>
                <w:sz w:val="24"/>
              </w:rPr>
              <w:fldChar w:fldCharType="separate"/>
            </w:r>
            <w:r>
              <w:rPr>
                <w:b/>
                <w:bCs/>
              </w:rPr>
              <w:t>6</w:t>
            </w:r>
            <w:r>
              <w:rPr>
                <w:b/>
                <w:bCs/>
                <w:sz w:val="24"/>
              </w:rPr>
              <w:fldChar w:fldCharType="end"/>
            </w:r>
            <w:r>
              <w:rPr>
                <w:lang w:val="zh-CN"/>
              </w:rPr>
              <w:t xml:space="preserve"> </w:t>
            </w:r>
            <w:r>
              <w:rPr>
                <w:lang w:val="zh-CN"/>
              </w:rPr>
              <w:t xml:space="preserve">/ </w:t>
            </w:r>
            <w:r>
              <w:rPr>
                <w:b/>
                <w:bCs/>
                <w:sz w:val="24"/>
              </w:rPr>
              <w:fldChar w:fldCharType="begin"/>
            </w:r>
            <w:r>
              <w:rPr>
                <w:b/>
                <w:bCs/>
              </w:rPr>
              <w:instrText>NUMPAGES</w:instrText>
            </w:r>
            <w:r>
              <w:rPr>
                <w:b/>
                <w:bCs/>
                <w:sz w:val="24"/>
              </w:rPr>
              <w:fldChar w:fldCharType="separate"/>
            </w:r>
            <w:r>
              <w:rPr>
                <w:b/>
                <w:bCs/>
              </w:rPr>
              <w:t>6</w:t>
            </w:r>
            <w:r>
              <w:rPr>
                <w:b/>
                <w:bCs/>
                <w:sz w:val="24"/>
              </w:rPr>
              <w:fldChar w:fldCharType="end"/>
            </w:r>
          </w:p>
        </w:sdtContent>
      </w:sdt>
    </w:sdtContent>
  </w:sdt>
  <w:p w:rsidR="00992D98" w:rsidRDefault="00000000">
    <w:pPr>
      <w:pStyle w:val="a5"/>
    </w:pPr>
    <w:r>
      <w:t>www.kairuibiotech.com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5D27" w:rsidRDefault="00135D27">
      <w:r>
        <w:separator/>
      </w:r>
    </w:p>
  </w:footnote>
  <w:footnote w:type="continuationSeparator" w:id="0">
    <w:p w:rsidR="00135D27" w:rsidRDefault="0013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98" w:rsidRDefault="00000000">
    <w:pPr>
      <w:pStyle w:val="a7"/>
      <w:pBdr>
        <w:bottom w:val="single" w:sz="4" w:space="1" w:color="auto"/>
      </w:pBdr>
    </w:pPr>
    <w:r>
      <w:rPr>
        <w:rFonts w:hint="eastAsia"/>
        <w:noProof/>
      </w:rPr>
      <w:drawing>
        <wp:inline distT="0" distB="0" distL="114300" distR="114300">
          <wp:extent cx="924560" cy="318770"/>
          <wp:effectExtent l="0" t="0" r="0" b="4445"/>
          <wp:docPr id="3" name="图片 3"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 xml:space="preserve">                </w:t>
    </w:r>
    <w:r>
      <w:t>T</w:t>
    </w:r>
    <w:r>
      <w:rPr>
        <w:rFonts w:hint="eastAsia"/>
      </w:rPr>
      <w:t>el</w:t>
    </w:r>
    <w:r>
      <w:rPr>
        <w:rFonts w:hint="eastAsia"/>
      </w:rPr>
      <w:t>：</w:t>
    </w:r>
    <w:r>
      <w:rPr>
        <w:rFonts w:hint="eastAsia"/>
      </w:rPr>
      <w:t>0756-363118</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7A780A"/>
    <w:multiLevelType w:val="singleLevel"/>
    <w:tmpl w:val="D57A780A"/>
    <w:lvl w:ilvl="0">
      <w:start w:val="1"/>
      <w:numFmt w:val="decimal"/>
      <w:lvlText w:val="(%1)"/>
      <w:lvlJc w:val="left"/>
      <w:pPr>
        <w:ind w:left="425" w:hanging="425"/>
      </w:pPr>
      <w:rPr>
        <w:rFonts w:hint="default"/>
      </w:rPr>
    </w:lvl>
  </w:abstractNum>
  <w:abstractNum w:abstractNumId="1" w15:restartNumberingAfterBreak="0">
    <w:nsid w:val="13584049"/>
    <w:multiLevelType w:val="multilevel"/>
    <w:tmpl w:val="13584049"/>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931DC9"/>
    <w:multiLevelType w:val="multilevel"/>
    <w:tmpl w:val="13931DC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76A6720"/>
    <w:multiLevelType w:val="multilevel"/>
    <w:tmpl w:val="176A6720"/>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A32FC9"/>
    <w:multiLevelType w:val="multilevel"/>
    <w:tmpl w:val="2FA32FC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6AB5F29"/>
    <w:multiLevelType w:val="multilevel"/>
    <w:tmpl w:val="76AB5F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91972901">
    <w:abstractNumId w:val="4"/>
  </w:num>
  <w:num w:numId="2" w16cid:durableId="376852238">
    <w:abstractNumId w:val="2"/>
  </w:num>
  <w:num w:numId="3" w16cid:durableId="1098406842">
    <w:abstractNumId w:val="0"/>
  </w:num>
  <w:num w:numId="4" w16cid:durableId="768698161">
    <w:abstractNumId w:val="5"/>
  </w:num>
  <w:num w:numId="5" w16cid:durableId="1324699265">
    <w:abstractNumId w:val="3"/>
  </w:num>
  <w:num w:numId="6" w16cid:durableId="1448546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3ZmQzNmZmMmJjODY2M2YxOWRjMjU0YjAwMmY0MzgifQ=="/>
  </w:docVars>
  <w:rsids>
    <w:rsidRoot w:val="006D53FF"/>
    <w:rsid w:val="00076F2B"/>
    <w:rsid w:val="00135D27"/>
    <w:rsid w:val="00152877"/>
    <w:rsid w:val="001C1BFE"/>
    <w:rsid w:val="002021DE"/>
    <w:rsid w:val="003E2B6C"/>
    <w:rsid w:val="004C1752"/>
    <w:rsid w:val="006D53FF"/>
    <w:rsid w:val="008277FB"/>
    <w:rsid w:val="00992D98"/>
    <w:rsid w:val="00BC2B77"/>
    <w:rsid w:val="00D74548"/>
    <w:rsid w:val="00DB2132"/>
    <w:rsid w:val="00DD4D41"/>
    <w:rsid w:val="00DF06DE"/>
    <w:rsid w:val="00F94BBC"/>
    <w:rsid w:val="080B1E61"/>
    <w:rsid w:val="087E43E0"/>
    <w:rsid w:val="09647F65"/>
    <w:rsid w:val="09C605F0"/>
    <w:rsid w:val="0D0B6AD6"/>
    <w:rsid w:val="0E0B0F1E"/>
    <w:rsid w:val="0E500298"/>
    <w:rsid w:val="196D2172"/>
    <w:rsid w:val="1A301CA8"/>
    <w:rsid w:val="1A7029AB"/>
    <w:rsid w:val="1B1673DF"/>
    <w:rsid w:val="1F6B68E4"/>
    <w:rsid w:val="21D87BA7"/>
    <w:rsid w:val="242D3703"/>
    <w:rsid w:val="259D37ED"/>
    <w:rsid w:val="28461363"/>
    <w:rsid w:val="2F324A13"/>
    <w:rsid w:val="3B475C59"/>
    <w:rsid w:val="3FFC1746"/>
    <w:rsid w:val="4231795A"/>
    <w:rsid w:val="42742F98"/>
    <w:rsid w:val="45420163"/>
    <w:rsid w:val="52B44A7B"/>
    <w:rsid w:val="682E5E80"/>
    <w:rsid w:val="696259A1"/>
    <w:rsid w:val="726F2268"/>
    <w:rsid w:val="770B5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196496"/>
  <w15:docId w15:val="{25CD18EF-24B2-314D-9DAD-BACCD6DD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360" w:lineRule="auto"/>
      <w:jc w:val="both"/>
    </w:pPr>
    <w:rPr>
      <w:rFonts w:eastAsiaTheme="minorEastAsia" w:cstheme="minorBidi"/>
      <w:kern w:val="2"/>
      <w:sz w:val="24"/>
      <w:szCs w:val="24"/>
    </w:rPr>
  </w:style>
  <w:style w:type="paragraph" w:styleId="1">
    <w:name w:val="heading 1"/>
    <w:basedOn w:val="a"/>
    <w:next w:val="a"/>
    <w:link w:val="10"/>
    <w:autoRedefine/>
    <w:qFormat/>
    <w:pPr>
      <w:keepNext/>
      <w:keepLines/>
      <w:outlineLvl w:val="0"/>
    </w:pPr>
    <w:rPr>
      <w:b/>
      <w:bCs/>
      <w:kern w:val="44"/>
      <w:sz w:val="28"/>
      <w:szCs w:val="44"/>
    </w:rPr>
  </w:style>
  <w:style w:type="paragraph" w:styleId="2">
    <w:name w:val="heading 2"/>
    <w:basedOn w:val="a"/>
    <w:next w:val="a"/>
    <w:autoRedefine/>
    <w:uiPriority w:val="9"/>
    <w:unhideWhenUsed/>
    <w:qFormat/>
    <w:pPr>
      <w:keepNext/>
      <w:keepLines/>
      <w:widowControl/>
      <w:adjustRightInd w:val="0"/>
      <w:snapToGrid w:val="0"/>
      <w:jc w:val="left"/>
      <w:outlineLvl w:val="1"/>
    </w:pPr>
    <w:rPr>
      <w:rFonts w:asciiTheme="majorHAnsi" w:eastAsiaTheme="majorEastAsia" w:hAnsiTheme="majorHAnsi" w:cstheme="majorBidi"/>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link w:val="a6"/>
    <w:autoRedefine/>
    <w:uiPriority w:val="99"/>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Title"/>
    <w:basedOn w:val="a"/>
    <w:next w:val="a"/>
    <w:link w:val="a9"/>
    <w:autoRedefine/>
    <w:qFormat/>
    <w:pPr>
      <w:spacing w:beforeLines="50" w:before="50" w:afterLines="50" w:after="50"/>
      <w:jc w:val="center"/>
      <w:outlineLvl w:val="0"/>
    </w:pPr>
    <w:rPr>
      <w:rFonts w:eastAsiaTheme="majorEastAsia" w:cstheme="majorBidi"/>
      <w:b/>
      <w:bCs/>
      <w:sz w:val="36"/>
      <w:szCs w:val="32"/>
    </w:rPr>
  </w:style>
  <w:style w:type="table" w:styleId="aa">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autoRedefine/>
    <w:uiPriority w:val="34"/>
    <w:qFormat/>
    <w:pPr>
      <w:ind w:firstLineChars="200" w:firstLine="420"/>
    </w:pPr>
  </w:style>
  <w:style w:type="paragraph" w:styleId="ac">
    <w:name w:val="No Spacing"/>
    <w:autoRedefine/>
    <w:uiPriority w:val="1"/>
    <w:qFormat/>
    <w:pPr>
      <w:adjustRightInd w:val="0"/>
      <w:snapToGrid w:val="0"/>
    </w:pPr>
    <w:rPr>
      <w:rFonts w:ascii="Tahoma" w:eastAsia="微软雅黑" w:hAnsi="Tahoma" w:cstheme="minorBidi"/>
      <w:sz w:val="22"/>
      <w:szCs w:val="22"/>
    </w:rPr>
  </w:style>
  <w:style w:type="character" w:customStyle="1" w:styleId="a4">
    <w:name w:val="批注框文本 字符"/>
    <w:basedOn w:val="a0"/>
    <w:link w:val="a3"/>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uiPriority w:val="99"/>
    <w:qFormat/>
    <w:rPr>
      <w:rFonts w:asciiTheme="minorHAnsi" w:eastAsiaTheme="minorEastAsia" w:hAnsiTheme="minorHAnsi" w:cstheme="minorBidi"/>
      <w:kern w:val="2"/>
      <w:sz w:val="18"/>
      <w:szCs w:val="24"/>
    </w:rPr>
  </w:style>
  <w:style w:type="character" w:customStyle="1" w:styleId="a9">
    <w:name w:val="标题 字符"/>
    <w:basedOn w:val="a0"/>
    <w:link w:val="a8"/>
    <w:autoRedefine/>
    <w:qFormat/>
    <w:rPr>
      <w:rFonts w:eastAsiaTheme="majorEastAsia" w:cstheme="majorBidi"/>
      <w:b/>
      <w:bCs/>
      <w:kern w:val="2"/>
      <w:sz w:val="36"/>
      <w:szCs w:val="32"/>
    </w:rPr>
  </w:style>
  <w:style w:type="character" w:customStyle="1" w:styleId="10">
    <w:name w:val="标题 1 字符"/>
    <w:basedOn w:val="a0"/>
    <w:link w:val="1"/>
    <w:autoRedefine/>
    <w:qFormat/>
    <w:rPr>
      <w:rFonts w:eastAsiaTheme="minorEastAsia" w:cstheme="minorBidi"/>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X-&#39033;&#30446;\&#23545;&#20869;&#39033;&#30446;\&#26434;&#20132;&#30244;&#20419;&#29983;&#38271;&#32452;&#21512;&#22240;&#23376;&#24320;&#21457;2021.6-2022.2\KD-HybriGro&#23454;&#39564;&#25968;&#25454;2022.2.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X-&#39033;&#30446;\&#23545;&#20869;&#39033;&#30446;\&#26434;&#20132;&#30244;&#20419;&#29983;&#38271;&#32452;&#21512;&#22240;&#23376;&#24320;&#21457;2021.6-2022.2\KD-HybriGro&#23454;&#39564;&#25968;&#25454;2022.2.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X-&#39033;&#30446;\&#23545;&#20869;&#39033;&#30446;\&#26434;&#20132;&#30244;&#20419;&#29983;&#38271;&#32452;&#21512;&#22240;&#23376;&#24320;&#21457;2021.6-2022.2\KD-HybriGro&#23454;&#39564;&#25968;&#25454;2022.2.1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实验</a:t>
            </a:r>
            <a:r>
              <a:rPr lang="en-US" altLang="zh-CN"/>
              <a:t>1 </a:t>
            </a:r>
            <a:r>
              <a:rPr lang="zh-CN" altLang="en-US"/>
              <a:t>添加重组生长因子</a:t>
            </a:r>
            <a:r>
              <a:rPr lang="en-US" altLang="zh-CN"/>
              <a:t>a</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'[KD-HybriGro实验数据2022.2.17.xlsx]Sheet1'!$A$27</c:f>
              <c:strCache>
                <c:ptCount val="1"/>
                <c:pt idx="0">
                  <c:v>1%FBS+重组生长因子a</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'[KD-HybriGro实验数据2022.2.17.xlsx]Sheet1'!$B$26:$D$26</c:f>
              <c:strCache>
                <c:ptCount val="3"/>
                <c:pt idx="0">
                  <c:v>细胞株A</c:v>
                </c:pt>
                <c:pt idx="1">
                  <c:v>细胞株B</c:v>
                </c:pt>
                <c:pt idx="2">
                  <c:v>细胞株C</c:v>
                </c:pt>
              </c:strCache>
            </c:strRef>
          </c:cat>
          <c:val>
            <c:numRef>
              <c:f>'[KD-HybriGro实验数据2022.2.17.xlsx]Sheet1'!$B$27:$D$27</c:f>
              <c:numCache>
                <c:formatCode>General</c:formatCode>
                <c:ptCount val="3"/>
                <c:pt idx="0">
                  <c:v>57</c:v>
                </c:pt>
                <c:pt idx="1">
                  <c:v>12</c:v>
                </c:pt>
                <c:pt idx="2">
                  <c:v>11</c:v>
                </c:pt>
              </c:numCache>
            </c:numRef>
          </c:val>
          <c:extLst>
            <c:ext xmlns:c16="http://schemas.microsoft.com/office/drawing/2014/chart" uri="{C3380CC4-5D6E-409C-BE32-E72D297353CC}">
              <c16:uniqueId val="{00000000-5EA7-994E-80FB-6252408A92EA}"/>
            </c:ext>
          </c:extLst>
        </c:ser>
        <c:ser>
          <c:idx val="1"/>
          <c:order val="1"/>
          <c:tx>
            <c:strRef>
              <c:f>'[KD-HybriGro实验数据2022.2.17.xlsx]Sheet1'!$A$28</c:f>
              <c:strCache>
                <c:ptCount val="1"/>
                <c:pt idx="0">
                  <c:v>10%FBS对照</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'[KD-HybriGro实验数据2022.2.17.xlsx]Sheet1'!$B$26:$D$26</c:f>
              <c:strCache>
                <c:ptCount val="3"/>
                <c:pt idx="0">
                  <c:v>细胞株A</c:v>
                </c:pt>
                <c:pt idx="1">
                  <c:v>细胞株B</c:v>
                </c:pt>
                <c:pt idx="2">
                  <c:v>细胞株C</c:v>
                </c:pt>
              </c:strCache>
            </c:strRef>
          </c:cat>
          <c:val>
            <c:numRef>
              <c:f>'[KD-HybriGro实验数据2022.2.17.xlsx]Sheet1'!$B$28:$D$28</c:f>
              <c:numCache>
                <c:formatCode>General</c:formatCode>
                <c:ptCount val="3"/>
                <c:pt idx="0">
                  <c:v>60</c:v>
                </c:pt>
                <c:pt idx="1">
                  <c:v>16</c:v>
                </c:pt>
                <c:pt idx="2">
                  <c:v>48</c:v>
                </c:pt>
              </c:numCache>
            </c:numRef>
          </c:val>
          <c:extLst>
            <c:ext xmlns:c16="http://schemas.microsoft.com/office/drawing/2014/chart" uri="{C3380CC4-5D6E-409C-BE32-E72D297353CC}">
              <c16:uniqueId val="{00000001-5EA7-994E-80FB-6252408A92EA}"/>
            </c:ext>
          </c:extLst>
        </c:ser>
        <c:dLbls>
          <c:showLegendKey val="0"/>
          <c:showVal val="1"/>
          <c:showCatName val="0"/>
          <c:showSerName val="0"/>
          <c:showPercent val="0"/>
          <c:showBubbleSize val="0"/>
        </c:dLbls>
        <c:gapWidth val="150"/>
        <c:axId val="866863232"/>
        <c:axId val="843278632"/>
      </c:barChart>
      <c:catAx>
        <c:axId val="866863232"/>
        <c:scaling>
          <c:orientation val="minMax"/>
        </c:scaling>
        <c:delete val="0"/>
        <c:axPos val="b"/>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43278632"/>
        <c:crosses val="autoZero"/>
        <c:auto val="1"/>
        <c:lblAlgn val="ctr"/>
        <c:lblOffset val="100"/>
        <c:noMultiLvlLbl val="0"/>
      </c:catAx>
      <c:valAx>
        <c:axId val="843278632"/>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细胞克隆数</a:t>
                </a:r>
              </a:p>
            </c:rich>
          </c:tx>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66863232"/>
        <c:crosses val="autoZero"/>
        <c:crossBetween val="between"/>
      </c:valAx>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实验</a:t>
            </a:r>
            <a:r>
              <a:rPr lang="en-US" altLang="zh-CN"/>
              <a:t>2 </a:t>
            </a:r>
            <a:r>
              <a:rPr lang="zh-CN" altLang="en-US"/>
              <a:t>添加重组生长因子</a:t>
            </a:r>
            <a:r>
              <a:rPr lang="en-US" altLang="zh-CN"/>
              <a:t>a</a:t>
            </a:r>
            <a:r>
              <a:rPr lang="en-US" altLang="en-US"/>
              <a:t>、</a:t>
            </a:r>
            <a:r>
              <a:rPr lang="en-US" altLang="zh-CN"/>
              <a:t>b</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12640177211685"/>
          <c:y val="0.19344193912288901"/>
          <c:w val="0.84997923300567602"/>
          <c:h val="0.61243306169965095"/>
        </c:manualLayout>
      </c:layout>
      <c:barChart>
        <c:barDir val="col"/>
        <c:grouping val="clustered"/>
        <c:varyColors val="0"/>
        <c:ser>
          <c:idx val="0"/>
          <c:order val="0"/>
          <c:tx>
            <c:strRef>
              <c:f>'[KD-HybriGro实验数据2022.2.17.xlsx]Sheet1'!$B$33</c:f>
              <c:strCache>
                <c:ptCount val="1"/>
                <c:pt idx="0">
                  <c:v>C</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'[KD-HybriGro实验数据2022.2.17.xlsx]Sheet1'!$A$34:$A$36</c:f>
              <c:strCache>
                <c:ptCount val="3"/>
                <c:pt idx="0">
                  <c:v>1%FBS+重组生长因子a、b</c:v>
                </c:pt>
                <c:pt idx="1">
                  <c:v>1%FBS+重组生长因子a</c:v>
                </c:pt>
                <c:pt idx="2">
                  <c:v>1%血清</c:v>
                </c:pt>
              </c:strCache>
            </c:strRef>
          </c:cat>
          <c:val>
            <c:numRef>
              <c:f>'[KD-HybriGro实验数据2022.2.17.xlsx]Sheet1'!$B$34:$B$36</c:f>
              <c:numCache>
                <c:formatCode>General</c:formatCode>
                <c:ptCount val="3"/>
                <c:pt idx="0">
                  <c:v>17</c:v>
                </c:pt>
                <c:pt idx="1">
                  <c:v>15</c:v>
                </c:pt>
                <c:pt idx="2">
                  <c:v>8</c:v>
                </c:pt>
              </c:numCache>
            </c:numRef>
          </c:val>
          <c:extLst>
            <c:ext xmlns:c16="http://schemas.microsoft.com/office/drawing/2014/chart" uri="{C3380CC4-5D6E-409C-BE32-E72D297353CC}">
              <c16:uniqueId val="{00000000-71CA-6744-8F5D-E2EA4014D79D}"/>
            </c:ext>
          </c:extLst>
        </c:ser>
        <c:dLbls>
          <c:showLegendKey val="0"/>
          <c:showVal val="1"/>
          <c:showCatName val="0"/>
          <c:showSerName val="0"/>
          <c:showPercent val="0"/>
          <c:showBubbleSize val="0"/>
        </c:dLbls>
        <c:gapWidth val="219"/>
        <c:overlap val="-27"/>
        <c:axId val="77752655"/>
        <c:axId val="13519390"/>
      </c:barChart>
      <c:catAx>
        <c:axId val="7775265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519390"/>
        <c:crosses val="autoZero"/>
        <c:auto val="1"/>
        <c:lblAlgn val="ctr"/>
        <c:lblOffset val="100"/>
        <c:noMultiLvlLbl val="0"/>
      </c:catAx>
      <c:valAx>
        <c:axId val="13519390"/>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细胞克隆数</a:t>
                </a:r>
              </a:p>
            </c:rich>
          </c:tx>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solidFill>
              <a:schemeClr val="bg1">
                <a:lumMod val="8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775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实验</a:t>
            </a:r>
            <a:r>
              <a:rPr lang="en-US" altLang="zh-CN"/>
              <a:t>3 </a:t>
            </a:r>
            <a:r>
              <a:rPr lang="zh-CN" altLang="en-US"/>
              <a:t>杂交瘤细胞株添加</a:t>
            </a:r>
            <a:r>
              <a:rPr lang="en-US" altLang="en-US"/>
              <a:t>KD-HybriGro</a:t>
            </a:r>
            <a:r>
              <a:rPr lang="zh-CN" altLang="en-US"/>
              <a:t>克隆对比数据</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2310817673946201"/>
          <c:y val="0.17018909899888801"/>
          <c:w val="0.51071609954291497"/>
          <c:h val="0.72222469410456103"/>
        </c:manualLayout>
      </c:layout>
      <c:barChart>
        <c:barDir val="col"/>
        <c:grouping val="clustered"/>
        <c:varyColors val="0"/>
        <c:ser>
          <c:idx val="2"/>
          <c:order val="0"/>
          <c:tx>
            <c:strRef>
              <c:f>'[KD-HybriGro实验数据2022.2.17.xlsx]Sheet1'!$A$44</c:f>
              <c:strCache>
                <c:ptCount val="1"/>
                <c:pt idx="0">
                  <c:v>KD-Clone+1%FBS+KD-HybriGro</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'[KD-HybriGro实验数据2022.2.17.xlsx]Sheet1'!$B$41:$C$41</c:f>
              <c:strCache>
                <c:ptCount val="2"/>
                <c:pt idx="0">
                  <c:v>细胞株V1</c:v>
                </c:pt>
                <c:pt idx="1">
                  <c:v>细胞株V2</c:v>
                </c:pt>
              </c:strCache>
            </c:strRef>
          </c:cat>
          <c:val>
            <c:numRef>
              <c:f>'[KD-HybriGro实验数据2022.2.17.xlsx]Sheet1'!$B$44:$C$44</c:f>
              <c:numCache>
                <c:formatCode>General</c:formatCode>
                <c:ptCount val="2"/>
                <c:pt idx="0">
                  <c:v>96</c:v>
                </c:pt>
                <c:pt idx="1">
                  <c:v>78</c:v>
                </c:pt>
              </c:numCache>
            </c:numRef>
          </c:val>
          <c:extLst>
            <c:ext xmlns:c16="http://schemas.microsoft.com/office/drawing/2014/chart" uri="{C3380CC4-5D6E-409C-BE32-E72D297353CC}">
              <c16:uniqueId val="{00000000-9B84-D345-80B7-0C6B8A7835B9}"/>
            </c:ext>
          </c:extLst>
        </c:ser>
        <c:ser>
          <c:idx val="0"/>
          <c:order val="1"/>
          <c:tx>
            <c:strRef>
              <c:f>'[KD-HybriGro实验数据2022.2.17.xlsx]Sheet1'!$A$42</c:f>
              <c:strCache>
                <c:ptCount val="1"/>
                <c:pt idx="0">
                  <c:v>KD-Clone+10%FBS</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'[KD-HybriGro实验数据2022.2.17.xlsx]Sheet1'!$B$41:$C$41</c:f>
              <c:strCache>
                <c:ptCount val="2"/>
                <c:pt idx="0">
                  <c:v>细胞株V1</c:v>
                </c:pt>
                <c:pt idx="1">
                  <c:v>细胞株V2</c:v>
                </c:pt>
              </c:strCache>
            </c:strRef>
          </c:cat>
          <c:val>
            <c:numRef>
              <c:f>'[KD-HybriGro实验数据2022.2.17.xlsx]Sheet1'!$B$42:$C$42</c:f>
              <c:numCache>
                <c:formatCode>General</c:formatCode>
                <c:ptCount val="2"/>
                <c:pt idx="0">
                  <c:v>91</c:v>
                </c:pt>
                <c:pt idx="1">
                  <c:v>79</c:v>
                </c:pt>
              </c:numCache>
            </c:numRef>
          </c:val>
          <c:extLst>
            <c:ext xmlns:c16="http://schemas.microsoft.com/office/drawing/2014/chart" uri="{C3380CC4-5D6E-409C-BE32-E72D297353CC}">
              <c16:uniqueId val="{00000001-9B84-D345-80B7-0C6B8A7835B9}"/>
            </c:ext>
          </c:extLst>
        </c:ser>
        <c:ser>
          <c:idx val="1"/>
          <c:order val="2"/>
          <c:tx>
            <c:strRef>
              <c:f>'[KD-HybriGro实验数据2022.2.17.xlsx]Sheet1'!$A$43</c:f>
              <c:strCache>
                <c:ptCount val="1"/>
                <c:pt idx="0">
                  <c:v>KD-Clone+1%FBS</c:v>
                </c:pt>
              </c:strCache>
            </c:strRef>
          </c:tx>
          <c:spPr>
            <a:solidFill>
              <a:schemeClr val="bg1">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'[KD-HybriGro实验数据2022.2.17.xlsx]Sheet1'!$B$41:$C$41</c:f>
              <c:strCache>
                <c:ptCount val="2"/>
                <c:pt idx="0">
                  <c:v>细胞株V1</c:v>
                </c:pt>
                <c:pt idx="1">
                  <c:v>细胞株V2</c:v>
                </c:pt>
              </c:strCache>
            </c:strRef>
          </c:cat>
          <c:val>
            <c:numRef>
              <c:f>'[KD-HybriGro实验数据2022.2.17.xlsx]Sheet1'!$B$43:$C$43</c:f>
              <c:numCache>
                <c:formatCode>General</c:formatCode>
                <c:ptCount val="2"/>
                <c:pt idx="0">
                  <c:v>55</c:v>
                </c:pt>
                <c:pt idx="1">
                  <c:v>15</c:v>
                </c:pt>
              </c:numCache>
            </c:numRef>
          </c:val>
          <c:extLst>
            <c:ext xmlns:c16="http://schemas.microsoft.com/office/drawing/2014/chart" uri="{C3380CC4-5D6E-409C-BE32-E72D297353CC}">
              <c16:uniqueId val="{00000002-9B84-D345-80B7-0C6B8A7835B9}"/>
            </c:ext>
          </c:extLst>
        </c:ser>
        <c:dLbls>
          <c:showLegendKey val="0"/>
          <c:showVal val="1"/>
          <c:showCatName val="0"/>
          <c:showSerName val="0"/>
          <c:showPercent val="0"/>
          <c:showBubbleSize val="0"/>
        </c:dLbls>
        <c:gapWidth val="150"/>
        <c:axId val="446694048"/>
        <c:axId val="802724131"/>
      </c:barChart>
      <c:catAx>
        <c:axId val="4466940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2724131"/>
        <c:crosses val="autoZero"/>
        <c:auto val="1"/>
        <c:lblAlgn val="ctr"/>
        <c:lblOffset val="100"/>
        <c:noMultiLvlLbl val="0"/>
      </c:catAx>
      <c:valAx>
        <c:axId val="802724131"/>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细胞克隆数</a:t>
                </a:r>
              </a:p>
            </c:rich>
          </c:tx>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solidFill>
              <a:schemeClr val="bg1">
                <a:lumMod val="7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46694048"/>
        <c:crosses val="autoZero"/>
        <c:crossBetween val="between"/>
      </c:valAx>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0CCDF-3153-4398-AFD1-5A1FA4E4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cp:lastPrinted>2024-03-13T01:17:00Z</cp:lastPrinted>
  <dcterms:created xsi:type="dcterms:W3CDTF">2024-03-13T01:17:00Z</dcterms:created>
  <dcterms:modified xsi:type="dcterms:W3CDTF">2024-03-13T01:17:00Z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A1E82AFBD02140F3A5E685E42578A27A_13</vt:lpwstr>
  </property>
</Properties>
</file>