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ind w:firstLine="602"/>
        <w:jc w:val="center"/>
        <w:rPr>
          <w:rFonts w:ascii="Times New Roman" w:cs="Times New Roman" w:hAnsiTheme="minorEastAsia"/>
          <w:b/>
          <w:sz w:val="30"/>
          <w:szCs w:val="30"/>
        </w:rPr>
      </w:pPr>
      <w:r>
        <w:rPr>
          <w:rFonts w:hint="eastAsia" w:ascii="Times New Roman" w:cs="Times New Roman" w:hAnsiTheme="minorEastAsia"/>
          <w:b/>
          <w:sz w:val="30"/>
          <w:szCs w:val="30"/>
        </w:rPr>
        <w:t>珠海恺瑞HEK293细胞荧光质粒转染方案</w:t>
      </w:r>
    </w:p>
    <w:p>
      <w:pPr>
        <w:pStyle w:val="2"/>
        <w:numPr>
          <w:ilvl w:val="0"/>
          <w:numId w:val="1"/>
        </w:numPr>
        <w:ind w:firstLineChars="0"/>
        <w:rPr>
          <w:rFonts w:hAnsi="Times New Roman"/>
        </w:rPr>
      </w:pPr>
      <w:r>
        <w:t>产品概述</w:t>
      </w:r>
    </w:p>
    <w:p>
      <w:pPr>
        <w:spacing w:line="360" w:lineRule="auto"/>
        <w:ind w:firstLine="480"/>
        <w:rPr>
          <w:rFonts w:ascii="宋体" w:hAnsi="宋体" w:eastAsia="宋体" w:cs="宋体"/>
          <w:szCs w:val="24"/>
        </w:rPr>
      </w:pPr>
      <w:r>
        <w:rPr>
          <w:rFonts w:ascii="宋体" w:hAnsi="宋体" w:eastAsia="宋体" w:cs="宋体"/>
          <w:szCs w:val="24"/>
        </w:rPr>
        <w:t>建立瞬时或稳定表达细胞株是研究基因功能的重要手段。</w:t>
      </w:r>
      <w:r>
        <w:rPr>
          <w:rFonts w:hint="eastAsia" w:ascii="宋体" w:hAnsi="宋体" w:eastAsia="宋体" w:cs="宋体"/>
          <w:szCs w:val="24"/>
        </w:rPr>
        <w:t>使用带GFP（绿色荧光蛋白）标记的质粒转染细胞后，</w:t>
      </w:r>
      <w:r>
        <w:rPr>
          <w:rFonts w:ascii="宋体" w:hAnsi="宋体" w:eastAsia="宋体" w:cs="宋体"/>
          <w:szCs w:val="24"/>
        </w:rPr>
        <w:t>可以直接使用荧光显微镜、激光共聚焦显微镜观察，也可以通过流式细胞仪检测，</w:t>
      </w:r>
      <w:r>
        <w:rPr>
          <w:rFonts w:hint="eastAsia" w:ascii="宋体" w:hAnsi="宋体" w:eastAsia="宋体" w:cs="宋体"/>
          <w:szCs w:val="24"/>
        </w:rPr>
        <w:t>判断</w:t>
      </w:r>
      <w:r>
        <w:rPr>
          <w:rFonts w:ascii="宋体" w:hAnsi="宋体" w:eastAsia="宋体" w:cs="宋体"/>
          <w:szCs w:val="24"/>
        </w:rPr>
        <w:t>是否有效转染及转染效率的高低。</w:t>
      </w:r>
      <w:r>
        <w:rPr>
          <w:rFonts w:hint="eastAsia" w:ascii="宋体" w:hAnsi="宋体" w:eastAsia="宋体" w:cs="宋体"/>
          <w:szCs w:val="24"/>
        </w:rPr>
        <w:t>本转染方法亦可用于珠海恺瑞HEK293瞬时转染4.0系统的验证。</w:t>
      </w:r>
    </w:p>
    <w:p>
      <w:pPr>
        <w:ind w:firstLine="0" w:firstLineChars="0"/>
        <w:rPr>
          <w:rFonts w:hAnsi="Times New Roman"/>
          <w:b/>
          <w:bCs/>
          <w:szCs w:val="24"/>
        </w:rPr>
      </w:pPr>
      <w:r>
        <w:rPr>
          <w:rFonts w:hint="eastAsia" w:hAnsi="Times New Roman"/>
          <w:b/>
          <w:bCs/>
          <w:szCs w:val="24"/>
        </w:rPr>
        <w:t>细胞培养基使用保存注意事项：</w:t>
      </w:r>
    </w:p>
    <w:p>
      <w:pPr>
        <w:pStyle w:val="12"/>
        <w:numPr>
          <w:ilvl w:val="0"/>
          <w:numId w:val="2"/>
        </w:numPr>
        <w:ind w:left="425" w:leftChars="0" w:hanging="425" w:firstLineChars="0"/>
        <w:rPr>
          <w:rFonts w:hAnsi="Times New Roman"/>
          <w:b/>
          <w:bCs/>
          <w:szCs w:val="24"/>
        </w:rPr>
      </w:pPr>
      <w:r>
        <w:rPr>
          <w:rFonts w:hint="eastAsia" w:hAnsi="Times New Roman"/>
          <w:b/>
          <w:bCs/>
          <w:szCs w:val="24"/>
        </w:rPr>
        <w:t>切勿紫外照射；</w:t>
      </w:r>
    </w:p>
    <w:p>
      <w:pPr>
        <w:pStyle w:val="12"/>
        <w:numPr>
          <w:ilvl w:val="0"/>
          <w:numId w:val="2"/>
        </w:numPr>
        <w:ind w:left="425" w:leftChars="0" w:hanging="425" w:firstLineChars="0"/>
        <w:rPr>
          <w:rFonts w:hAnsi="Times New Roman"/>
          <w:b/>
          <w:bCs/>
          <w:szCs w:val="24"/>
        </w:rPr>
      </w:pPr>
      <w:r>
        <w:rPr>
          <w:rFonts w:hint="eastAsia" w:hAnsi="Times New Roman"/>
          <w:b/>
          <w:bCs/>
          <w:szCs w:val="24"/>
        </w:rPr>
        <w:t>无需预热处理，可直接从冰箱取出使用；</w:t>
      </w:r>
    </w:p>
    <w:p>
      <w:pPr>
        <w:pStyle w:val="12"/>
        <w:numPr>
          <w:ilvl w:val="0"/>
          <w:numId w:val="2"/>
        </w:numPr>
        <w:ind w:left="425" w:leftChars="0" w:hanging="425" w:firstLineChars="0"/>
        <w:rPr>
          <w:rFonts w:hAnsi="Times New Roman"/>
          <w:b/>
          <w:bCs/>
          <w:szCs w:val="24"/>
        </w:rPr>
      </w:pPr>
      <w:r>
        <w:rPr>
          <w:rFonts w:hint="eastAsia" w:hAnsi="Times New Roman"/>
          <w:b/>
          <w:bCs/>
          <w:szCs w:val="24"/>
        </w:rPr>
        <w:t>储存细胞培养基时尽量使用医用冰箱，以确保恒温效果，切勿冷冻；</w:t>
      </w:r>
    </w:p>
    <w:p>
      <w:pPr>
        <w:pStyle w:val="12"/>
        <w:numPr>
          <w:ilvl w:val="0"/>
          <w:numId w:val="2"/>
        </w:numPr>
        <w:ind w:left="425" w:leftChars="0" w:hanging="425" w:firstLineChars="0"/>
        <w:rPr>
          <w:rFonts w:hAnsi="Times New Roman"/>
          <w:b/>
          <w:bCs/>
          <w:szCs w:val="24"/>
        </w:rPr>
      </w:pPr>
      <w:bookmarkStart w:id="2" w:name="_GoBack"/>
      <w:bookmarkEnd w:id="2"/>
      <w:r>
        <w:rPr>
          <w:rFonts w:hint="eastAsia" w:hAnsi="Times New Roman"/>
          <w:b/>
          <w:bCs/>
          <w:szCs w:val="24"/>
        </w:rPr>
        <w:t>定期检查细胞培养基过期日期，并在过期前使用完或更换新的培养基，避免使用过期培养基导致细胞生长异常或失败。</w:t>
      </w:r>
    </w:p>
    <w:p>
      <w:pPr>
        <w:spacing w:line="360" w:lineRule="auto"/>
        <w:ind w:firstLine="480"/>
        <w:rPr>
          <w:rFonts w:hint="eastAsia" w:ascii="宋体" w:hAnsi="宋体" w:eastAsia="宋体" w:cs="宋体"/>
          <w:szCs w:val="24"/>
        </w:rPr>
      </w:pPr>
    </w:p>
    <w:p>
      <w:pPr>
        <w:pStyle w:val="2"/>
        <w:numPr>
          <w:ilvl w:val="0"/>
          <w:numId w:val="1"/>
        </w:numPr>
        <w:ind w:firstLineChars="0"/>
      </w:pPr>
      <w:r>
        <w:t>实验步骤</w:t>
      </w:r>
    </w:p>
    <w:p>
      <w:pPr>
        <w:pStyle w:val="3"/>
      </w:pPr>
      <w:r>
        <w:t>2.1转染</w:t>
      </w:r>
      <w:r>
        <w:rPr>
          <w:rFonts w:hint="eastAsia"/>
        </w:rPr>
        <w:t>前</w:t>
      </w:r>
      <w:r>
        <w:t>细胞</w:t>
      </w:r>
      <w:r>
        <w:rPr>
          <w:rFonts w:hint="eastAsia"/>
        </w:rPr>
        <w:t>培养</w:t>
      </w:r>
    </w:p>
    <w:p>
      <w:pPr>
        <w:pStyle w:val="12"/>
        <w:numPr>
          <w:ilvl w:val="0"/>
          <w:numId w:val="3"/>
        </w:numPr>
        <w:spacing w:line="360" w:lineRule="auto"/>
        <w:ind w:left="0" w:firstLine="0" w:firstLineChars="0"/>
      </w:pPr>
      <w:r>
        <w:t>将</w:t>
      </w:r>
      <w:r>
        <w:rPr>
          <w:rFonts w:hAnsi="Times New Roman"/>
        </w:rPr>
        <w:t>HEK293</w:t>
      </w:r>
      <w:r>
        <w:t>细胞置于</w:t>
      </w:r>
      <w:r>
        <w:rPr>
          <w:rFonts w:hAnsi="Times New Roman"/>
        </w:rPr>
        <w:t>5%</w:t>
      </w:r>
      <w:r>
        <w:t>的</w:t>
      </w:r>
      <w:r>
        <w:rPr>
          <w:rFonts w:hAnsi="Times New Roman"/>
        </w:rPr>
        <w:t>CO</w:t>
      </w:r>
      <w:r>
        <w:rPr>
          <w:rFonts w:hAnsi="Times New Roman"/>
          <w:vertAlign w:val="subscript"/>
        </w:rPr>
        <w:t>2</w:t>
      </w:r>
      <w:r>
        <w:t>恒温摇床中</w:t>
      </w:r>
      <w:r>
        <w:rPr>
          <w:rFonts w:hint="eastAsia"/>
        </w:rPr>
        <w:t>（使用其它浓度的CO</w:t>
      </w:r>
      <w:r>
        <w:rPr>
          <w:rFonts w:hint="eastAsia"/>
          <w:vertAlign w:val="subscript"/>
        </w:rPr>
        <w:t>2</w:t>
      </w:r>
      <w:r>
        <w:rPr>
          <w:rFonts w:hint="eastAsia"/>
        </w:rPr>
        <w:t>可能会严重影响细胞培养效果）</w:t>
      </w:r>
      <w:r>
        <w:t>，</w:t>
      </w:r>
      <w:r>
        <w:rPr>
          <w:rFonts w:hAnsi="Times New Roman"/>
        </w:rPr>
        <w:t>37</w:t>
      </w:r>
      <w:r>
        <w:rPr>
          <w:rFonts w:hint="eastAsia" w:ascii="微软雅黑" w:hAnsi="微软雅黑" w:eastAsia="微软雅黑" w:cs="微软雅黑"/>
        </w:rPr>
        <w:t>℃</w:t>
      </w:r>
      <w:r>
        <w:t>、</w:t>
      </w:r>
      <w:r>
        <w:rPr>
          <w:rFonts w:hAnsi="Times New Roman"/>
        </w:rPr>
        <w:t>120rpm</w:t>
      </w:r>
      <w:r>
        <w:t>恒温震荡培养</w:t>
      </w:r>
      <w:r>
        <w:rPr>
          <w:rFonts w:hint="eastAsia"/>
        </w:rPr>
        <w:t>（具体转速可根据用户培养箱摇床种类，摇瓶体积及实际培养情况自行调节，可参考下方</w:t>
      </w:r>
      <w:r>
        <w:rPr>
          <w:rFonts w:hint="eastAsia" w:ascii="宋体" w:hAnsi="宋体"/>
          <w:b/>
          <w:bCs/>
          <w:szCs w:val="24"/>
        </w:rPr>
        <w:t>表</w:t>
      </w:r>
      <w:r>
        <w:rPr>
          <w:rFonts w:hint="eastAsia" w:ascii="宋体" w:hAnsi="宋体"/>
          <w:b/>
          <w:bCs/>
          <w:color w:val="333333"/>
          <w:szCs w:val="24"/>
          <w:shd w:val="clear" w:color="auto" w:fill="FFFFFF"/>
        </w:rPr>
        <w:t>Ⅰ</w:t>
      </w:r>
      <w:r>
        <w:rPr>
          <w:rFonts w:hint="eastAsia"/>
        </w:rPr>
        <w:t>）。</w:t>
      </w:r>
      <w:r>
        <w:t>传代时，需先做细胞计数</w:t>
      </w:r>
      <w:r>
        <w:rPr>
          <w:rFonts w:hint="eastAsia"/>
        </w:rPr>
        <w:t>和观察细胞活率，尽量选择密度在3</w:t>
      </w:r>
      <w:r>
        <w:t>-6</w:t>
      </w:r>
      <w:r>
        <w:rPr>
          <w:rFonts w:hAnsi="Times New Roman"/>
        </w:rPr>
        <w:t>×10</w:t>
      </w:r>
      <w:r>
        <w:rPr>
          <w:rFonts w:hAnsi="Times New Roman"/>
          <w:vertAlign w:val="superscript"/>
        </w:rPr>
        <w:t xml:space="preserve">6 </w:t>
      </w:r>
      <w:r>
        <w:rPr>
          <w:rFonts w:hint="eastAsia" w:hAnsi="Times New Roman"/>
        </w:rPr>
        <w:t>cells</w:t>
      </w:r>
      <w:r>
        <w:rPr>
          <w:rFonts w:hAnsi="Times New Roman"/>
        </w:rPr>
        <w:t>/</w:t>
      </w:r>
      <w:r>
        <w:rPr>
          <w:rFonts w:hint="eastAsia" w:hAnsi="Times New Roman"/>
        </w:rPr>
        <w:t>ml</w:t>
      </w:r>
      <w:r>
        <w:rPr>
          <w:rFonts w:hint="eastAsia"/>
        </w:rPr>
        <w:t>的高活率细胞进行传代培养。过高培养密度的细胞在传代培养后有可能会出现生长速度缓慢、培养密度降低等生长状态的变化，并直接影响重组蛋白表达等后续应用效果；</w:t>
      </w:r>
    </w:p>
    <w:p>
      <w:pPr>
        <w:pStyle w:val="12"/>
        <w:numPr>
          <w:ilvl w:val="0"/>
          <w:numId w:val="3"/>
        </w:numPr>
        <w:spacing w:line="360" w:lineRule="auto"/>
        <w:ind w:left="0" w:firstLine="0" w:firstLineChars="0"/>
      </w:pPr>
      <w:r>
        <w:rPr>
          <w:rFonts w:hint="eastAsia"/>
        </w:rPr>
        <w:t>传代培养时建议</w:t>
      </w:r>
      <w:r>
        <w:t>细胞</w:t>
      </w:r>
      <w:r>
        <w:rPr>
          <w:rFonts w:hint="eastAsia"/>
        </w:rPr>
        <w:t>接种</w:t>
      </w:r>
      <w:r>
        <w:t>密度</w:t>
      </w:r>
      <w:r>
        <w:rPr>
          <w:rFonts w:hint="eastAsia"/>
        </w:rPr>
        <w:t>为</w:t>
      </w:r>
      <w:r>
        <w:rPr>
          <w:rFonts w:hint="eastAsia" w:hAnsi="Times New Roman"/>
        </w:rPr>
        <w:t>0.6</w:t>
      </w:r>
      <w:r>
        <w:rPr>
          <w:rFonts w:hAnsi="Times New Roman"/>
        </w:rPr>
        <w:t>×10</w:t>
      </w:r>
      <w:r>
        <w:rPr>
          <w:rFonts w:hAnsi="Times New Roman"/>
          <w:vertAlign w:val="superscript"/>
        </w:rPr>
        <w:t>6</w:t>
      </w:r>
      <w:r>
        <w:rPr>
          <w:rFonts w:hint="eastAsia" w:hAnsi="Times New Roman"/>
        </w:rPr>
        <w:t xml:space="preserve"> cells</w:t>
      </w:r>
      <w:r>
        <w:rPr>
          <w:rFonts w:hAnsi="Times New Roman"/>
        </w:rPr>
        <w:t>/</w:t>
      </w:r>
      <w:r>
        <w:rPr>
          <w:rFonts w:hint="eastAsia" w:hAnsi="Times New Roman"/>
        </w:rPr>
        <w:t>ml</w:t>
      </w:r>
      <w:r>
        <w:rPr>
          <w:rFonts w:hint="eastAsia"/>
        </w:rPr>
        <w:t>，</w:t>
      </w:r>
      <w:r>
        <w:t>每</w:t>
      </w:r>
      <w:r>
        <w:rPr>
          <w:rFonts w:hint="eastAsia"/>
        </w:rPr>
        <w:t>隔3</w:t>
      </w:r>
      <w:r>
        <w:t>-4</w:t>
      </w:r>
      <w:r>
        <w:rPr>
          <w:rFonts w:hint="eastAsia"/>
        </w:rPr>
        <w:t>天</w:t>
      </w:r>
      <w:r>
        <w:t>传代</w:t>
      </w:r>
      <w:r>
        <w:rPr>
          <w:rFonts w:hint="eastAsia" w:hAnsi="Times New Roman"/>
        </w:rPr>
        <w:t>1</w:t>
      </w:r>
      <w:r>
        <w:t>次。</w:t>
      </w:r>
      <w:r>
        <w:rPr>
          <w:rFonts w:ascii="Times New Roman" w:hAnsi="Times New Roman" w:cs="Times New Roman"/>
        </w:rPr>
        <w:t>KOP293</w:t>
      </w:r>
      <w:r>
        <w:rPr>
          <w:rFonts w:hint="eastAsia"/>
        </w:rPr>
        <w:t>培养基</w:t>
      </w:r>
      <w:r>
        <w:t>可支撑的最高细胞密度约为</w:t>
      </w:r>
      <w:r>
        <w:rPr>
          <w:rFonts w:hAnsi="Times New Roman"/>
        </w:rPr>
        <w:t>1</w:t>
      </w:r>
      <w:r>
        <w:rPr>
          <w:rFonts w:hint="eastAsia" w:hAnsi="Times New Roman"/>
        </w:rPr>
        <w:t>.</w:t>
      </w:r>
      <w:r>
        <w:rPr>
          <w:rFonts w:hAnsi="Times New Roman"/>
        </w:rPr>
        <w:t>2×10</w:t>
      </w:r>
      <w:r>
        <w:rPr>
          <w:rFonts w:hint="eastAsia" w:hAnsi="Times New Roman"/>
          <w:vertAlign w:val="superscript"/>
        </w:rPr>
        <w:t>7</w:t>
      </w:r>
      <w:r>
        <w:rPr>
          <w:rFonts w:hint="eastAsia" w:hAnsi="Times New Roman"/>
        </w:rPr>
        <w:t xml:space="preserve"> cells</w:t>
      </w:r>
      <w:r>
        <w:rPr>
          <w:rFonts w:hAnsi="Times New Roman"/>
        </w:rPr>
        <w:t>/</w:t>
      </w:r>
      <w:r>
        <w:rPr>
          <w:rFonts w:hint="eastAsia" w:hAnsi="Times New Roman"/>
        </w:rPr>
        <w:t>ml</w:t>
      </w:r>
      <w:r>
        <w:t>，</w:t>
      </w:r>
      <w:r>
        <w:rPr>
          <w:rFonts w:hint="eastAsia"/>
        </w:rPr>
        <w:t>细胞在达到此</w:t>
      </w:r>
      <w:r>
        <w:t>密度</w:t>
      </w:r>
      <w:r>
        <w:rPr>
          <w:rFonts w:hint="eastAsia"/>
        </w:rPr>
        <w:t>时</w:t>
      </w:r>
      <w:r>
        <w:t>存活率一般仍可保持</w:t>
      </w:r>
      <w:r>
        <w:rPr>
          <w:rFonts w:hint="eastAsia"/>
        </w:rPr>
        <w:t>在</w:t>
      </w:r>
      <w:r>
        <w:rPr>
          <w:rFonts w:hAnsi="Times New Roman"/>
        </w:rPr>
        <w:t>95%</w:t>
      </w:r>
      <w:r>
        <w:t>以上</w:t>
      </w:r>
      <w:r>
        <w:rPr>
          <w:rFonts w:hint="eastAsia"/>
        </w:rPr>
        <w:t>；</w:t>
      </w:r>
    </w:p>
    <w:p>
      <w:pPr>
        <w:pStyle w:val="12"/>
        <w:numPr>
          <w:ilvl w:val="0"/>
          <w:numId w:val="3"/>
        </w:numPr>
        <w:spacing w:line="360" w:lineRule="auto"/>
        <w:ind w:left="0" w:firstLine="0" w:firstLineChars="0"/>
        <w:rPr>
          <w:rFonts w:hAnsi="Times New Roman"/>
        </w:rPr>
      </w:pPr>
      <w:r>
        <w:rPr>
          <w:rFonts w:hint="eastAsia"/>
        </w:rPr>
        <w:t>若在培养过程中出现死细胞数过多的状况，应把细胞丢弃，使用新的细胞。</w:t>
      </w:r>
    </w:p>
    <w:p>
      <w:pPr>
        <w:pStyle w:val="12"/>
        <w:spacing w:line="324" w:lineRule="auto"/>
        <w:ind w:firstLine="0" w:firstLineChars="0"/>
        <w:jc w:val="center"/>
        <w:rPr>
          <w:rFonts w:ascii="宋体" w:hAnsi="宋体" w:eastAsia="宋体" w:cs="Times New Roman"/>
          <w:b/>
          <w:bCs/>
          <w:color w:val="333333"/>
          <w:szCs w:val="24"/>
          <w:shd w:val="clear" w:color="auto" w:fill="FFFFFF"/>
        </w:rPr>
      </w:pPr>
      <w:r>
        <w:rPr>
          <w:rFonts w:hint="eastAsia" w:ascii="宋体" w:hAnsi="宋体"/>
          <w:b/>
          <w:bCs/>
          <w:szCs w:val="24"/>
        </w:rPr>
        <w:t>表</w:t>
      </w:r>
      <w:r>
        <w:rPr>
          <w:rFonts w:hint="eastAsia" w:ascii="宋体" w:hAnsi="宋体"/>
          <w:b/>
          <w:bCs/>
          <w:color w:val="333333"/>
          <w:szCs w:val="24"/>
          <w:shd w:val="clear" w:color="auto" w:fill="FFFFFF"/>
        </w:rPr>
        <w:t>Ⅰ：</w:t>
      </w:r>
      <w:r>
        <w:rPr>
          <w:rFonts w:hint="eastAsia" w:ascii="宋体" w:hAnsi="宋体"/>
          <w:b/>
          <w:bCs/>
          <w:szCs w:val="24"/>
        </w:rPr>
        <w:t>摇床参数设定</w:t>
      </w:r>
    </w:p>
    <w:tbl>
      <w:tblPr>
        <w:tblStyle w:val="9"/>
        <w:tblW w:w="9779" w:type="dxa"/>
        <w:jc w:val="center"/>
        <w:tblBorders>
          <w:top w:val="single" w:color="4F81BD" w:sz="8" w:space="0"/>
          <w:left w:val="none" w:color="auto" w:sz="0" w:space="0"/>
          <w:bottom w:val="single" w:color="4F81BD"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448"/>
        <w:gridCol w:w="2448"/>
        <w:gridCol w:w="2441"/>
        <w:gridCol w:w="2442"/>
      </w:tblGrid>
      <w:tr>
        <w:tblPrEx>
          <w:tblBorders>
            <w:top w:val="single" w:color="4F81BD" w:sz="8" w:space="0"/>
            <w:left w:val="none" w:color="auto" w:sz="0" w:space="0"/>
            <w:bottom w:val="single" w:color="4F81BD"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4896" w:type="dxa"/>
            <w:gridSpan w:val="2"/>
            <w:tcBorders>
              <w:top w:val="single" w:color="4F81BD" w:sz="12" w:space="0"/>
              <w:left w:val="nil"/>
              <w:bottom w:val="single" w:color="4F81BD" w:sz="12" w:space="0"/>
              <w:right w:val="single" w:color="4F81BD" w:sz="8" w:space="0"/>
            </w:tcBorders>
            <w:vAlign w:val="center"/>
          </w:tcPr>
          <w:p>
            <w:pPr>
              <w:spacing w:line="324" w:lineRule="auto"/>
              <w:ind w:firstLine="480"/>
              <w:jc w:val="center"/>
              <w:rPr>
                <w:rFonts w:ascii="宋体" w:hAnsi="宋体"/>
                <w:b/>
                <w:szCs w:val="24"/>
              </w:rPr>
            </w:pPr>
            <w:r>
              <w:rPr>
                <w:rFonts w:hint="eastAsia" w:ascii="宋体" w:hAnsi="宋体"/>
                <w:bCs/>
                <w:szCs w:val="24"/>
              </w:rPr>
              <w:t>摇床振幅为</w:t>
            </w:r>
            <w:r>
              <w:rPr>
                <w:rFonts w:hint="eastAsia" w:ascii="宋体" w:hAnsi="宋体"/>
                <w:b/>
                <w:szCs w:val="24"/>
              </w:rPr>
              <w:t>26mm</w:t>
            </w:r>
          </w:p>
        </w:tc>
        <w:tc>
          <w:tcPr>
            <w:tcW w:w="4883" w:type="dxa"/>
            <w:gridSpan w:val="2"/>
            <w:tcBorders>
              <w:top w:val="single" w:color="4F81BD" w:sz="12" w:space="0"/>
              <w:left w:val="nil"/>
              <w:bottom w:val="single" w:color="4F81BD" w:sz="12" w:space="0"/>
              <w:right w:val="nil"/>
            </w:tcBorders>
            <w:vAlign w:val="center"/>
          </w:tcPr>
          <w:p>
            <w:pPr>
              <w:ind w:firstLine="480"/>
              <w:jc w:val="center"/>
              <w:rPr>
                <w:rFonts w:ascii="宋体" w:hAnsi="宋体"/>
                <w:b/>
                <w:szCs w:val="24"/>
              </w:rPr>
            </w:pPr>
            <w:r>
              <w:rPr>
                <w:rFonts w:hint="eastAsia" w:ascii="宋体" w:hAnsi="宋体"/>
                <w:bCs/>
                <w:szCs w:val="24"/>
              </w:rPr>
              <w:t>摇床振幅为</w:t>
            </w:r>
            <w:r>
              <w:rPr>
                <w:rFonts w:hint="eastAsia" w:ascii="宋体" w:hAnsi="宋体"/>
                <w:b/>
                <w:szCs w:val="24"/>
              </w:rPr>
              <w:t>50mm</w:t>
            </w:r>
          </w:p>
        </w:tc>
      </w:tr>
      <w:tr>
        <w:tblPrEx>
          <w:tblBorders>
            <w:top w:val="single" w:color="4F81BD" w:sz="8" w:space="0"/>
            <w:left w:val="none" w:color="auto" w:sz="0" w:space="0"/>
            <w:bottom w:val="single" w:color="4F81BD"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48" w:type="dxa"/>
            <w:tcBorders>
              <w:top w:val="single" w:color="4F81BD" w:sz="12" w:space="0"/>
              <w:left w:val="nil"/>
              <w:bottom w:val="single" w:color="4F81BD" w:sz="8" w:space="0"/>
              <w:right w:val="single" w:color="4F81BD" w:sz="8" w:space="0"/>
            </w:tcBorders>
            <w:vAlign w:val="center"/>
          </w:tcPr>
          <w:p>
            <w:pPr>
              <w:spacing w:line="324" w:lineRule="auto"/>
              <w:ind w:firstLine="482"/>
              <w:jc w:val="center"/>
              <w:rPr>
                <w:rFonts w:ascii="宋体" w:hAnsi="宋体"/>
                <w:b/>
                <w:szCs w:val="24"/>
              </w:rPr>
            </w:pPr>
            <w:r>
              <w:rPr>
                <w:rFonts w:hint="eastAsia" w:ascii="宋体" w:hAnsi="宋体"/>
                <w:b/>
                <w:szCs w:val="24"/>
              </w:rPr>
              <w:t>0.02-2L摇瓶</w:t>
            </w:r>
          </w:p>
        </w:tc>
        <w:tc>
          <w:tcPr>
            <w:tcW w:w="2448" w:type="dxa"/>
            <w:tcBorders>
              <w:top w:val="single" w:color="4F81BD" w:sz="12" w:space="0"/>
              <w:left w:val="nil"/>
              <w:bottom w:val="single" w:color="4F81BD" w:sz="8" w:space="0"/>
              <w:right w:val="single" w:color="4F81BD" w:sz="8" w:space="0"/>
            </w:tcBorders>
            <w:vAlign w:val="center"/>
          </w:tcPr>
          <w:p>
            <w:pPr>
              <w:spacing w:line="324" w:lineRule="auto"/>
              <w:ind w:firstLine="482"/>
              <w:jc w:val="center"/>
              <w:rPr>
                <w:rFonts w:ascii="宋体" w:hAnsi="宋体"/>
                <w:b/>
                <w:szCs w:val="24"/>
              </w:rPr>
            </w:pPr>
            <w:r>
              <w:rPr>
                <w:rFonts w:hint="eastAsia" w:ascii="宋体" w:hAnsi="宋体"/>
                <w:b/>
                <w:szCs w:val="24"/>
              </w:rPr>
              <w:t>120rpm</w:t>
            </w:r>
          </w:p>
        </w:tc>
        <w:tc>
          <w:tcPr>
            <w:tcW w:w="2441" w:type="dxa"/>
            <w:tcBorders>
              <w:top w:val="single" w:color="4F81BD" w:sz="12" w:space="0"/>
              <w:left w:val="nil"/>
              <w:bottom w:val="single" w:color="4F81BD" w:sz="8" w:space="0"/>
              <w:right w:val="nil"/>
            </w:tcBorders>
            <w:vAlign w:val="center"/>
          </w:tcPr>
          <w:p>
            <w:pPr>
              <w:ind w:firstLine="482"/>
              <w:jc w:val="center"/>
              <w:rPr>
                <w:rFonts w:ascii="宋体" w:hAnsi="宋体"/>
                <w:b/>
                <w:szCs w:val="24"/>
              </w:rPr>
            </w:pPr>
            <w:r>
              <w:rPr>
                <w:rFonts w:hint="eastAsia" w:ascii="宋体" w:hAnsi="宋体"/>
                <w:b/>
                <w:szCs w:val="24"/>
              </w:rPr>
              <w:t>0.02-2L摇瓶</w:t>
            </w:r>
          </w:p>
        </w:tc>
        <w:tc>
          <w:tcPr>
            <w:tcW w:w="2442" w:type="dxa"/>
            <w:tcBorders>
              <w:top w:val="single" w:color="4F81BD" w:sz="12" w:space="0"/>
              <w:left w:val="single" w:color="4F81BD" w:sz="8" w:space="0"/>
              <w:bottom w:val="single" w:color="4F81BD" w:sz="8" w:space="0"/>
              <w:right w:val="nil"/>
            </w:tcBorders>
            <w:vAlign w:val="center"/>
          </w:tcPr>
          <w:p>
            <w:pPr>
              <w:ind w:firstLine="482"/>
              <w:jc w:val="center"/>
              <w:rPr>
                <w:rFonts w:ascii="宋体" w:hAnsi="宋体"/>
                <w:b/>
                <w:szCs w:val="24"/>
              </w:rPr>
            </w:pPr>
            <w:r>
              <w:rPr>
                <w:rFonts w:hint="eastAsia" w:ascii="宋体" w:hAnsi="宋体"/>
                <w:b/>
                <w:szCs w:val="24"/>
              </w:rPr>
              <w:t>85rpm</w:t>
            </w:r>
          </w:p>
        </w:tc>
      </w:tr>
      <w:tr>
        <w:tblPrEx>
          <w:tblBorders>
            <w:top w:val="single" w:color="4F81BD" w:sz="8" w:space="0"/>
            <w:left w:val="none" w:color="auto" w:sz="0" w:space="0"/>
            <w:bottom w:val="single" w:color="4F81BD"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448" w:type="dxa"/>
            <w:tcBorders>
              <w:top w:val="single" w:color="4F81BD" w:sz="8" w:space="0"/>
              <w:left w:val="nil"/>
              <w:bottom w:val="single" w:color="4F81BD" w:sz="8" w:space="0"/>
              <w:right w:val="single" w:color="4F81BD" w:sz="8" w:space="0"/>
            </w:tcBorders>
            <w:vAlign w:val="center"/>
          </w:tcPr>
          <w:p>
            <w:pPr>
              <w:spacing w:line="324" w:lineRule="auto"/>
              <w:ind w:firstLine="482"/>
              <w:jc w:val="center"/>
              <w:rPr>
                <w:rFonts w:ascii="宋体" w:hAnsi="宋体"/>
                <w:b/>
                <w:szCs w:val="24"/>
              </w:rPr>
            </w:pPr>
            <w:r>
              <w:rPr>
                <w:rFonts w:hint="eastAsia" w:ascii="宋体" w:hAnsi="宋体"/>
                <w:b/>
                <w:szCs w:val="24"/>
              </w:rPr>
              <w:t>2-5L摇瓶</w:t>
            </w:r>
          </w:p>
        </w:tc>
        <w:tc>
          <w:tcPr>
            <w:tcW w:w="2448" w:type="dxa"/>
            <w:tcBorders>
              <w:top w:val="single" w:color="4F81BD" w:sz="8" w:space="0"/>
              <w:left w:val="nil"/>
              <w:bottom w:val="single" w:color="4F81BD" w:sz="8" w:space="0"/>
              <w:right w:val="single" w:color="4F81BD" w:sz="8" w:space="0"/>
            </w:tcBorders>
            <w:vAlign w:val="center"/>
          </w:tcPr>
          <w:p>
            <w:pPr>
              <w:spacing w:line="324" w:lineRule="auto"/>
              <w:ind w:firstLine="482"/>
              <w:jc w:val="center"/>
              <w:rPr>
                <w:rFonts w:ascii="宋体" w:hAnsi="宋体"/>
                <w:b/>
                <w:szCs w:val="24"/>
              </w:rPr>
            </w:pPr>
            <w:r>
              <w:rPr>
                <w:rFonts w:hint="eastAsia" w:ascii="宋体" w:hAnsi="宋体"/>
                <w:b/>
                <w:szCs w:val="24"/>
              </w:rPr>
              <w:t>90rpm</w:t>
            </w:r>
          </w:p>
        </w:tc>
        <w:tc>
          <w:tcPr>
            <w:tcW w:w="2441" w:type="dxa"/>
            <w:tcBorders>
              <w:top w:val="single" w:color="4F81BD" w:sz="8" w:space="0"/>
              <w:left w:val="nil"/>
              <w:bottom w:val="single" w:color="4F81BD" w:sz="8" w:space="0"/>
              <w:right w:val="nil"/>
            </w:tcBorders>
            <w:vAlign w:val="center"/>
          </w:tcPr>
          <w:p>
            <w:pPr>
              <w:ind w:firstLine="482"/>
              <w:jc w:val="center"/>
              <w:rPr>
                <w:rFonts w:ascii="宋体" w:hAnsi="宋体"/>
                <w:b/>
                <w:szCs w:val="24"/>
              </w:rPr>
            </w:pPr>
            <w:r>
              <w:rPr>
                <w:rFonts w:hint="eastAsia" w:ascii="宋体" w:hAnsi="宋体"/>
                <w:b/>
                <w:szCs w:val="24"/>
              </w:rPr>
              <w:t>2-5L摇瓶</w:t>
            </w:r>
          </w:p>
        </w:tc>
        <w:tc>
          <w:tcPr>
            <w:tcW w:w="2442" w:type="dxa"/>
            <w:tcBorders>
              <w:top w:val="single" w:color="4F81BD" w:sz="8" w:space="0"/>
              <w:left w:val="single" w:color="4F81BD" w:sz="8" w:space="0"/>
              <w:bottom w:val="single" w:color="4F81BD" w:sz="8" w:space="0"/>
              <w:right w:val="nil"/>
            </w:tcBorders>
            <w:vAlign w:val="center"/>
          </w:tcPr>
          <w:p>
            <w:pPr>
              <w:ind w:firstLine="482"/>
              <w:jc w:val="center"/>
              <w:rPr>
                <w:rFonts w:ascii="宋体" w:hAnsi="宋体"/>
                <w:b/>
                <w:szCs w:val="24"/>
              </w:rPr>
            </w:pPr>
            <w:r>
              <w:rPr>
                <w:rFonts w:hint="eastAsia" w:ascii="宋体" w:hAnsi="宋体"/>
                <w:b/>
                <w:szCs w:val="24"/>
              </w:rPr>
              <w:t>65rpm</w:t>
            </w:r>
          </w:p>
        </w:tc>
      </w:tr>
    </w:tbl>
    <w:p>
      <w:pPr>
        <w:pStyle w:val="12"/>
        <w:ind w:firstLine="0" w:firstLineChars="0"/>
        <w:rPr>
          <w:rFonts w:hAnsi="Times New Roman"/>
        </w:rPr>
      </w:pPr>
    </w:p>
    <w:p>
      <w:pPr>
        <w:pStyle w:val="3"/>
        <w:rPr>
          <w:rFonts w:hAnsi="Times New Roman"/>
        </w:rPr>
      </w:pPr>
      <w:r>
        <w:rPr>
          <w:rFonts w:hAnsi="Times New Roman"/>
        </w:rPr>
        <w:t>2.</w:t>
      </w:r>
      <w:r>
        <w:rPr>
          <w:rFonts w:hint="eastAsia" w:hAnsi="Times New Roman"/>
        </w:rPr>
        <w:t>2</w:t>
      </w:r>
      <w:r>
        <w:t>转染细胞的准备</w:t>
      </w:r>
    </w:p>
    <w:p>
      <w:pPr>
        <w:pStyle w:val="12"/>
        <w:widowControl/>
        <w:numPr>
          <w:ilvl w:val="255"/>
          <w:numId w:val="0"/>
        </w:numPr>
        <w:adjustRightInd w:val="0"/>
        <w:snapToGrid w:val="0"/>
        <w:spacing w:line="360" w:lineRule="auto"/>
        <w:ind w:firstLine="480" w:firstLineChars="200"/>
        <w:rPr>
          <w:rFonts w:ascii="Times New Roman" w:hAnsi="Times New Roman" w:cs="Times New Roman"/>
          <w:szCs w:val="24"/>
        </w:rPr>
      </w:pPr>
      <w:r>
        <w:rPr>
          <w:rFonts w:hint="eastAsia" w:ascii="Times New Roman" w:cs="Times New Roman" w:hAnsiTheme="minorEastAsia"/>
          <w:szCs w:val="24"/>
        </w:rPr>
        <w:t>在细胞荧光转染前需</w:t>
      </w:r>
      <w:r>
        <w:rPr>
          <w:rFonts w:ascii="Times New Roman" w:cs="Times New Roman" w:hAnsiTheme="minorEastAsia"/>
          <w:szCs w:val="24"/>
        </w:rPr>
        <w:t>确定其细胞密度及存活率</w:t>
      </w:r>
      <w:bookmarkStart w:id="0" w:name="OLE_LINK1"/>
      <w:r>
        <w:rPr>
          <w:rFonts w:ascii="Times New Roman" w:cs="Times New Roman" w:hAnsiTheme="minorEastAsia"/>
          <w:szCs w:val="24"/>
        </w:rPr>
        <w:t>。为确保转染效果，建议使用生长处于指数</w:t>
      </w:r>
      <w:r>
        <w:rPr>
          <w:rFonts w:hint="eastAsia" w:ascii="Times New Roman" w:cs="Times New Roman" w:hAnsiTheme="minorEastAsia"/>
          <w:szCs w:val="24"/>
        </w:rPr>
        <w:t>生长</w:t>
      </w:r>
      <w:r>
        <w:rPr>
          <w:rFonts w:ascii="Times New Roman" w:cs="Times New Roman" w:hAnsiTheme="minorEastAsia"/>
          <w:szCs w:val="24"/>
        </w:rPr>
        <w:t>期（密度约为</w:t>
      </w:r>
      <w:r>
        <w:rPr>
          <w:rFonts w:hint="eastAsia" w:ascii="Times New Roman" w:cs="Times New Roman" w:hAnsiTheme="minorEastAsia"/>
          <w:szCs w:val="24"/>
        </w:rPr>
        <w:t>3</w:t>
      </w:r>
      <w:r>
        <w:rPr>
          <w:rFonts w:ascii="Times New Roman" w:cs="Times New Roman" w:hAnsiTheme="minorEastAsia"/>
          <w:szCs w:val="24"/>
        </w:rPr>
        <w:t>-5</w:t>
      </w:r>
      <w:r>
        <w:rPr>
          <w:rFonts w:ascii="Times New Roman" w:hAnsi="Times New Roman" w:cs="Times New Roman"/>
          <w:szCs w:val="24"/>
        </w:rPr>
        <w:t>×10</w:t>
      </w:r>
      <w:r>
        <w:rPr>
          <w:rFonts w:ascii="Times New Roman" w:hAnsi="Times New Roman" w:cs="Times New Roman"/>
          <w:szCs w:val="24"/>
          <w:vertAlign w:val="superscript"/>
        </w:rPr>
        <w:t>6</w:t>
      </w:r>
      <w:r>
        <w:rPr>
          <w:rFonts w:hint="eastAsia" w:hAnsi="Times New Roman"/>
        </w:rPr>
        <w:t xml:space="preserve"> cells</w:t>
      </w:r>
      <w:r>
        <w:rPr>
          <w:rFonts w:hAnsi="Times New Roman"/>
        </w:rPr>
        <w:t>/</w:t>
      </w:r>
      <w:r>
        <w:rPr>
          <w:rFonts w:hint="eastAsia" w:hAnsi="Times New Roman"/>
        </w:rPr>
        <w:t>ml</w:t>
      </w:r>
      <w:r>
        <w:rPr>
          <w:rFonts w:ascii="Times New Roman" w:cs="Times New Roman" w:hAnsiTheme="minorEastAsia"/>
          <w:szCs w:val="24"/>
        </w:rPr>
        <w:t>）、存活率大于</w:t>
      </w:r>
      <w:r>
        <w:rPr>
          <w:rFonts w:ascii="Times New Roman" w:hAnsi="Times New Roman" w:cs="Times New Roman"/>
          <w:szCs w:val="24"/>
        </w:rPr>
        <w:t>9</w:t>
      </w:r>
      <w:r>
        <w:rPr>
          <w:rFonts w:hint="eastAsia" w:ascii="Times New Roman" w:hAnsi="Times New Roman" w:cs="Times New Roman"/>
          <w:szCs w:val="24"/>
        </w:rPr>
        <w:t>8</w:t>
      </w:r>
      <w:r>
        <w:rPr>
          <w:rFonts w:ascii="Times New Roman" w:hAnsi="Times New Roman" w:cs="Times New Roman"/>
          <w:szCs w:val="24"/>
        </w:rPr>
        <w:t xml:space="preserve">% </w:t>
      </w:r>
      <w:r>
        <w:rPr>
          <w:rFonts w:ascii="Times New Roman" w:cs="Times New Roman" w:hAnsiTheme="minorEastAsia"/>
          <w:szCs w:val="24"/>
        </w:rPr>
        <w:t>的细胞转染</w:t>
      </w:r>
      <w:r>
        <w:rPr>
          <w:rFonts w:hint="eastAsia" w:ascii="Times New Roman" w:cs="Times New Roman" w:hAnsiTheme="minorEastAsia"/>
          <w:szCs w:val="24"/>
        </w:rPr>
        <w:t>。</w:t>
      </w:r>
      <w:bookmarkEnd w:id="0"/>
    </w:p>
    <w:p>
      <w:pPr>
        <w:pStyle w:val="12"/>
        <w:widowControl/>
        <w:numPr>
          <w:ilvl w:val="255"/>
          <w:numId w:val="0"/>
        </w:numPr>
        <w:adjustRightInd w:val="0"/>
        <w:snapToGrid w:val="0"/>
        <w:spacing w:line="360" w:lineRule="auto"/>
        <w:rPr>
          <w:rFonts w:ascii="Times New Roman" w:cs="Times New Roman" w:hAnsiTheme="minorEastAsia"/>
          <w:szCs w:val="24"/>
        </w:rPr>
      </w:pPr>
      <w:r>
        <w:rPr>
          <w:rFonts w:hint="eastAsia" w:ascii="Times New Roman" w:cs="Times New Roman" w:hAnsiTheme="minorEastAsia"/>
          <w:szCs w:val="24"/>
        </w:rPr>
        <w:t>2.2.</w:t>
      </w:r>
      <w:r>
        <w:rPr>
          <w:rFonts w:ascii="Times New Roman" w:cs="Times New Roman" w:hAnsiTheme="minorEastAsia"/>
          <w:szCs w:val="24"/>
        </w:rPr>
        <w:t>1</w:t>
      </w:r>
      <w:r>
        <w:rPr>
          <w:rFonts w:hint="eastAsia" w:ascii="Times New Roman" w:cs="Times New Roman" w:hAnsiTheme="minorEastAsia"/>
          <w:szCs w:val="24"/>
        </w:rPr>
        <w:t>方案一：直接转染</w:t>
      </w:r>
    </w:p>
    <w:p>
      <w:pPr>
        <w:pStyle w:val="12"/>
        <w:widowControl/>
        <w:numPr>
          <w:ilvl w:val="0"/>
          <w:numId w:val="4"/>
        </w:numPr>
        <w:adjustRightInd w:val="0"/>
        <w:snapToGrid w:val="0"/>
        <w:spacing w:line="360" w:lineRule="auto"/>
        <w:ind w:firstLine="0" w:firstLineChars="0"/>
        <w:rPr>
          <w:rFonts w:ascii="Times New Roman" w:cs="Times New Roman" w:hAnsiTheme="minorEastAsia"/>
          <w:szCs w:val="24"/>
        </w:rPr>
      </w:pPr>
      <w:r>
        <w:rPr>
          <w:rFonts w:hint="eastAsia" w:ascii="Times New Roman" w:cs="Times New Roman" w:hAnsiTheme="minorEastAsia"/>
          <w:szCs w:val="24"/>
        </w:rPr>
        <w:t xml:space="preserve"> </w:t>
      </w:r>
      <w:r>
        <w:rPr>
          <w:rFonts w:ascii="Times New Roman" w:cs="Times New Roman" w:hAnsiTheme="minorEastAsia"/>
          <w:b/>
          <w:bCs/>
          <w:szCs w:val="24"/>
        </w:rPr>
        <w:t>细胞无需离心</w:t>
      </w:r>
      <w:r>
        <w:rPr>
          <w:rFonts w:ascii="Times New Roman" w:cs="Times New Roman" w:hAnsiTheme="minorEastAsia"/>
          <w:szCs w:val="24"/>
        </w:rPr>
        <w:t>，</w:t>
      </w:r>
      <w:r>
        <w:rPr>
          <w:rFonts w:hint="eastAsia" w:ascii="Times New Roman" w:cs="Times New Roman" w:hAnsiTheme="minorEastAsia"/>
          <w:szCs w:val="24"/>
        </w:rPr>
        <w:t>若细胞密度为4.0×10</w:t>
      </w:r>
      <w:r>
        <w:rPr>
          <w:rFonts w:hint="eastAsia" w:ascii="Times New Roman" w:cs="Times New Roman" w:hAnsiTheme="minorEastAsia"/>
          <w:szCs w:val="24"/>
          <w:vertAlign w:val="superscript"/>
        </w:rPr>
        <w:t>6</w:t>
      </w:r>
      <w:r>
        <w:rPr>
          <w:rFonts w:hint="eastAsia" w:hAnsi="Times New Roman"/>
        </w:rPr>
        <w:t xml:space="preserve"> cells</w:t>
      </w:r>
      <w:r>
        <w:rPr>
          <w:rFonts w:hAnsi="Times New Roman"/>
        </w:rPr>
        <w:t>/</w:t>
      </w:r>
      <w:r>
        <w:rPr>
          <w:rFonts w:hint="eastAsia" w:hAnsi="Times New Roman"/>
        </w:rPr>
        <w:t>ml</w:t>
      </w:r>
      <w:r>
        <w:rPr>
          <w:rFonts w:hint="eastAsia" w:ascii="Times New Roman" w:cs="Times New Roman" w:hAnsiTheme="minorEastAsia"/>
          <w:szCs w:val="24"/>
        </w:rPr>
        <w:t>时，则可直接转染，若细胞密度&gt;4.0×10</w:t>
      </w:r>
      <w:r>
        <w:rPr>
          <w:rFonts w:hint="eastAsia" w:ascii="Times New Roman" w:cs="Times New Roman" w:hAnsiTheme="minorEastAsia"/>
          <w:szCs w:val="24"/>
          <w:vertAlign w:val="superscript"/>
        </w:rPr>
        <w:t>6</w:t>
      </w:r>
      <w:r>
        <w:rPr>
          <w:rFonts w:hint="eastAsia" w:hAnsi="Times New Roman"/>
        </w:rPr>
        <w:t xml:space="preserve"> cells</w:t>
      </w:r>
      <w:r>
        <w:rPr>
          <w:rFonts w:hAnsi="Times New Roman"/>
        </w:rPr>
        <w:t>/</w:t>
      </w:r>
      <w:r>
        <w:rPr>
          <w:rFonts w:hint="eastAsia" w:hAnsi="Times New Roman"/>
        </w:rPr>
        <w:t>ml</w:t>
      </w:r>
      <w:r>
        <w:rPr>
          <w:rFonts w:ascii="Calibri" w:hAnsi="Calibri" w:cs="Calibri"/>
        </w:rPr>
        <w:t>&lt;</w:t>
      </w:r>
      <w:r>
        <w:rPr>
          <w:rFonts w:hint="eastAsia" w:cstheme="minorHAnsi"/>
        </w:rPr>
        <w:t>7.0×</w:t>
      </w:r>
      <w:r>
        <w:rPr>
          <w:rFonts w:hint="eastAsia" w:ascii="Times New Roman" w:cs="Times New Roman" w:hAnsiTheme="minorEastAsia"/>
          <w:szCs w:val="24"/>
        </w:rPr>
        <w:t>10</w:t>
      </w:r>
      <w:r>
        <w:rPr>
          <w:rFonts w:hint="eastAsia" w:ascii="Times New Roman" w:cs="Times New Roman" w:hAnsiTheme="minorEastAsia"/>
          <w:szCs w:val="24"/>
          <w:vertAlign w:val="superscript"/>
        </w:rPr>
        <w:t>6</w:t>
      </w:r>
      <w:r>
        <w:rPr>
          <w:rFonts w:hint="eastAsia" w:hAnsi="Times New Roman"/>
        </w:rPr>
        <w:t xml:space="preserve"> cells</w:t>
      </w:r>
      <w:r>
        <w:rPr>
          <w:rFonts w:hAnsi="Times New Roman"/>
        </w:rPr>
        <w:t>/</w:t>
      </w:r>
      <w:r>
        <w:rPr>
          <w:rFonts w:hint="eastAsia" w:hAnsi="Times New Roman"/>
        </w:rPr>
        <w:t>ml时</w:t>
      </w:r>
      <w:r>
        <w:rPr>
          <w:rFonts w:hint="eastAsia" w:ascii="Times New Roman" w:cs="Times New Roman" w:hAnsiTheme="minorEastAsia"/>
          <w:szCs w:val="24"/>
        </w:rPr>
        <w:t>，则需</w:t>
      </w:r>
      <w:r>
        <w:rPr>
          <w:rFonts w:ascii="Times New Roman" w:cs="Times New Roman" w:hAnsiTheme="minorEastAsia"/>
          <w:szCs w:val="24"/>
        </w:rPr>
        <w:t>兑入</w:t>
      </w:r>
      <w:r>
        <w:rPr>
          <w:rFonts w:hint="eastAsia" w:ascii="Times New Roman" w:cs="Times New Roman" w:hAnsiTheme="minorEastAsia"/>
          <w:szCs w:val="24"/>
        </w:rPr>
        <w:t>新鲜的</w:t>
      </w:r>
      <w:r>
        <w:rPr>
          <w:rFonts w:ascii="Times New Roman" w:hAnsi="Times New Roman" w:cs="Times New Roman"/>
          <w:szCs w:val="24"/>
        </w:rPr>
        <w:t>KOP293</w:t>
      </w:r>
      <w:r>
        <w:rPr>
          <w:rFonts w:ascii="Times New Roman" w:cs="Times New Roman" w:hAnsiTheme="minorEastAsia"/>
          <w:szCs w:val="24"/>
        </w:rPr>
        <w:t>培养液，将细胞密度稀释成</w:t>
      </w:r>
      <w:r>
        <w:rPr>
          <w:rFonts w:hint="eastAsia" w:ascii="Times New Roman" w:hAnsi="Times New Roman" w:cs="Times New Roman"/>
          <w:szCs w:val="24"/>
        </w:rPr>
        <w:t>4.0×</w:t>
      </w:r>
      <w:r>
        <w:rPr>
          <w:rFonts w:ascii="Times New Roman" w:hAnsi="Times New Roman" w:cs="Times New Roman"/>
          <w:szCs w:val="24"/>
        </w:rPr>
        <w:t>10</w:t>
      </w:r>
      <w:r>
        <w:rPr>
          <w:rFonts w:ascii="Times New Roman" w:hAnsi="Times New Roman" w:cs="Times New Roman"/>
          <w:szCs w:val="24"/>
          <w:vertAlign w:val="superscript"/>
        </w:rPr>
        <w:t>6</w:t>
      </w:r>
      <w:r>
        <w:rPr>
          <w:rFonts w:hint="eastAsia" w:hAnsi="Times New Roman"/>
        </w:rPr>
        <w:t xml:space="preserve"> cells</w:t>
      </w:r>
      <w:r>
        <w:rPr>
          <w:rFonts w:hAnsi="Times New Roman"/>
        </w:rPr>
        <w:t>/</w:t>
      </w:r>
      <w:r>
        <w:rPr>
          <w:rFonts w:hint="eastAsia" w:hAnsi="Times New Roman"/>
        </w:rPr>
        <w:t>ml后进行转染；</w:t>
      </w:r>
    </w:p>
    <w:p>
      <w:pPr>
        <w:pStyle w:val="12"/>
        <w:widowControl/>
        <w:numPr>
          <w:ilvl w:val="255"/>
          <w:numId w:val="0"/>
        </w:numPr>
        <w:adjustRightInd w:val="0"/>
        <w:snapToGrid w:val="0"/>
        <w:spacing w:line="360" w:lineRule="auto"/>
        <w:rPr>
          <w:rFonts w:ascii="Times New Roman" w:cs="Times New Roman" w:hAnsiTheme="minorEastAsia"/>
          <w:szCs w:val="24"/>
        </w:rPr>
      </w:pPr>
      <w:r>
        <w:rPr>
          <w:rFonts w:hint="eastAsia" w:ascii="Times New Roman" w:cs="Times New Roman" w:hAnsiTheme="minorEastAsia"/>
          <w:szCs w:val="24"/>
        </w:rPr>
        <w:t>2.2.</w:t>
      </w:r>
      <w:r>
        <w:rPr>
          <w:rFonts w:ascii="Times New Roman" w:cs="Times New Roman" w:hAnsiTheme="minorEastAsia"/>
          <w:szCs w:val="24"/>
        </w:rPr>
        <w:t>2</w:t>
      </w:r>
      <w:r>
        <w:rPr>
          <w:rFonts w:hint="eastAsia" w:ascii="Times New Roman" w:cs="Times New Roman" w:hAnsiTheme="minorEastAsia"/>
          <w:szCs w:val="24"/>
        </w:rPr>
        <w:t>方案二：细胞培养24小时后进行转染</w:t>
      </w:r>
    </w:p>
    <w:p>
      <w:pPr>
        <w:pStyle w:val="12"/>
        <w:widowControl/>
        <w:numPr>
          <w:ilvl w:val="0"/>
          <w:numId w:val="5"/>
        </w:numPr>
        <w:adjustRightInd w:val="0"/>
        <w:snapToGrid w:val="0"/>
        <w:spacing w:line="360" w:lineRule="auto"/>
        <w:ind w:left="0" w:firstLine="0" w:firstLineChars="0"/>
        <w:rPr>
          <w:rFonts w:ascii="Times New Roman" w:cs="Times New Roman" w:hAnsiTheme="minorEastAsia"/>
          <w:szCs w:val="24"/>
        </w:rPr>
      </w:pPr>
      <w:r>
        <w:rPr>
          <w:rFonts w:ascii="Times New Roman" w:cs="Times New Roman" w:hAnsiTheme="minorEastAsia"/>
          <w:b/>
          <w:bCs/>
          <w:szCs w:val="24"/>
        </w:rPr>
        <w:t>细胞无需离心</w:t>
      </w:r>
      <w:r>
        <w:rPr>
          <w:rFonts w:ascii="Times New Roman" w:cs="Times New Roman" w:hAnsiTheme="minorEastAsia"/>
          <w:szCs w:val="24"/>
        </w:rPr>
        <w:t>，</w:t>
      </w:r>
      <w:r>
        <w:rPr>
          <w:rFonts w:hint="eastAsia" w:ascii="Times New Roman" w:cs="Times New Roman" w:hAnsiTheme="minorEastAsia"/>
          <w:szCs w:val="24"/>
        </w:rPr>
        <w:t>若细胞密度为2.0×10</w:t>
      </w:r>
      <w:r>
        <w:rPr>
          <w:rFonts w:hint="eastAsia" w:ascii="Times New Roman" w:cs="Times New Roman" w:hAnsiTheme="minorEastAsia"/>
          <w:szCs w:val="24"/>
          <w:vertAlign w:val="superscript"/>
        </w:rPr>
        <w:t>6</w:t>
      </w:r>
      <w:r>
        <w:rPr>
          <w:rFonts w:hint="eastAsia" w:hAnsi="Times New Roman"/>
        </w:rPr>
        <w:t xml:space="preserve"> cells</w:t>
      </w:r>
      <w:r>
        <w:rPr>
          <w:rFonts w:hAnsi="Times New Roman"/>
        </w:rPr>
        <w:t>/</w:t>
      </w:r>
      <w:r>
        <w:rPr>
          <w:rFonts w:hint="eastAsia" w:hAnsi="Times New Roman"/>
        </w:rPr>
        <w:t>ml</w:t>
      </w:r>
      <w:r>
        <w:rPr>
          <w:rFonts w:hint="eastAsia" w:ascii="Times New Roman" w:cs="Times New Roman" w:hAnsiTheme="minorEastAsia"/>
          <w:szCs w:val="24"/>
        </w:rPr>
        <w:t>时，则直接培养24小时后转染；若细胞密度&gt;2.0×10</w:t>
      </w:r>
      <w:r>
        <w:rPr>
          <w:rFonts w:hint="eastAsia" w:ascii="Times New Roman" w:cs="Times New Roman" w:hAnsiTheme="minorEastAsia"/>
          <w:szCs w:val="24"/>
          <w:vertAlign w:val="superscript"/>
        </w:rPr>
        <w:t>6</w:t>
      </w:r>
      <w:r>
        <w:rPr>
          <w:rFonts w:hint="eastAsia" w:hAnsi="Times New Roman"/>
        </w:rPr>
        <w:t xml:space="preserve"> cells</w:t>
      </w:r>
      <w:r>
        <w:rPr>
          <w:rFonts w:hAnsi="Times New Roman"/>
        </w:rPr>
        <w:t>/</w:t>
      </w:r>
      <w:r>
        <w:rPr>
          <w:rFonts w:hint="eastAsia" w:hAnsi="Times New Roman"/>
        </w:rPr>
        <w:t>ml时</w:t>
      </w:r>
      <w:r>
        <w:rPr>
          <w:rFonts w:hint="eastAsia" w:ascii="Times New Roman" w:cs="Times New Roman" w:hAnsiTheme="minorEastAsia"/>
          <w:szCs w:val="24"/>
        </w:rPr>
        <w:t>，则需</w:t>
      </w:r>
      <w:r>
        <w:rPr>
          <w:rFonts w:ascii="Times New Roman" w:cs="Times New Roman" w:hAnsiTheme="minorEastAsia"/>
          <w:szCs w:val="24"/>
        </w:rPr>
        <w:t>兑入</w:t>
      </w:r>
      <w:r>
        <w:rPr>
          <w:rFonts w:hint="eastAsia" w:ascii="Times New Roman" w:cs="Times New Roman" w:hAnsiTheme="minorEastAsia"/>
          <w:szCs w:val="24"/>
        </w:rPr>
        <w:t>新鲜的</w:t>
      </w:r>
      <w:r>
        <w:rPr>
          <w:rFonts w:ascii="Times New Roman" w:hAnsi="Times New Roman" w:cs="Times New Roman"/>
          <w:szCs w:val="24"/>
        </w:rPr>
        <w:t>KOP293</w:t>
      </w:r>
      <w:r>
        <w:rPr>
          <w:rFonts w:ascii="Times New Roman" w:cs="Times New Roman" w:hAnsiTheme="minorEastAsia"/>
          <w:szCs w:val="24"/>
        </w:rPr>
        <w:t>培养液，将细胞稀释成</w:t>
      </w:r>
      <w:r>
        <w:rPr>
          <w:rFonts w:hint="eastAsia" w:ascii="Times New Roman" w:hAnsi="Times New Roman" w:cs="Times New Roman"/>
          <w:szCs w:val="24"/>
        </w:rPr>
        <w:t>2.0×</w:t>
      </w:r>
      <w:r>
        <w:rPr>
          <w:rFonts w:ascii="Times New Roman" w:hAnsi="Times New Roman" w:cs="Times New Roman"/>
          <w:szCs w:val="24"/>
        </w:rPr>
        <w:t>10</w:t>
      </w:r>
      <w:r>
        <w:rPr>
          <w:rFonts w:ascii="Times New Roman" w:hAnsi="Times New Roman" w:cs="Times New Roman"/>
          <w:szCs w:val="24"/>
          <w:vertAlign w:val="superscript"/>
        </w:rPr>
        <w:t>6</w:t>
      </w:r>
      <w:r>
        <w:rPr>
          <w:rFonts w:hint="eastAsia" w:hAnsi="Times New Roman"/>
        </w:rPr>
        <w:t xml:space="preserve"> cells</w:t>
      </w:r>
      <w:r>
        <w:rPr>
          <w:rFonts w:hAnsi="Times New Roman"/>
        </w:rPr>
        <w:t>/</w:t>
      </w:r>
      <w:r>
        <w:rPr>
          <w:rFonts w:hint="eastAsia" w:hAnsi="Times New Roman"/>
        </w:rPr>
        <w:t>ml的</w:t>
      </w:r>
      <w:r>
        <w:rPr>
          <w:rFonts w:ascii="Times New Roman" w:cs="Times New Roman" w:hAnsiTheme="minorEastAsia"/>
          <w:szCs w:val="24"/>
        </w:rPr>
        <w:t>密度</w:t>
      </w:r>
      <w:r>
        <w:rPr>
          <w:rFonts w:hint="eastAsia" w:hAnsi="Times New Roman"/>
        </w:rPr>
        <w:t>培养</w:t>
      </w:r>
      <w:r>
        <w:rPr>
          <w:rFonts w:hint="eastAsia" w:ascii="Times New Roman" w:hAnsi="Times New Roman" w:cs="Times New Roman"/>
          <w:szCs w:val="24"/>
        </w:rPr>
        <w:t>24小时</w:t>
      </w:r>
      <w:r>
        <w:rPr>
          <w:rFonts w:hint="eastAsia" w:ascii="Times New Roman" w:cs="Times New Roman" w:hAnsiTheme="minorEastAsia"/>
          <w:szCs w:val="24"/>
        </w:rPr>
        <w:t>后转染。细胞培养条件：</w:t>
      </w:r>
      <w:r>
        <w:rPr>
          <w:rFonts w:ascii="Times New Roman" w:hAnsi="Times New Roman" w:cs="Times New Roman"/>
          <w:szCs w:val="24"/>
        </w:rPr>
        <w:t>5%</w:t>
      </w:r>
      <w:r>
        <w:rPr>
          <w:rFonts w:ascii="Times New Roman" w:cs="Times New Roman" w:hAnsiTheme="minorEastAsia"/>
          <w:szCs w:val="24"/>
        </w:rPr>
        <w:t>的</w:t>
      </w:r>
      <w:r>
        <w:rPr>
          <w:rFonts w:ascii="Times New Roman" w:hAnsi="Times New Roman" w:cs="Times New Roman"/>
          <w:szCs w:val="24"/>
        </w:rPr>
        <w:t>CO</w:t>
      </w:r>
      <w:r>
        <w:rPr>
          <w:rFonts w:ascii="Times New Roman" w:hAnsi="Times New Roman" w:cs="Times New Roman"/>
          <w:szCs w:val="24"/>
          <w:vertAlign w:val="subscript"/>
        </w:rPr>
        <w:t>2</w:t>
      </w:r>
      <w:r>
        <w:rPr>
          <w:rFonts w:ascii="Times New Roman" w:cs="Times New Roman" w:hAnsiTheme="minorEastAsia"/>
          <w:szCs w:val="24"/>
        </w:rPr>
        <w:t>恒温摇床中，</w:t>
      </w:r>
      <w:r>
        <w:rPr>
          <w:rFonts w:ascii="Times New Roman" w:hAnsi="Times New Roman" w:cs="Times New Roman"/>
          <w:szCs w:val="24"/>
        </w:rPr>
        <w:t>37</w:t>
      </w:r>
      <w:r>
        <w:rPr>
          <w:rFonts w:cs="Times New Roman" w:asciiTheme="minorEastAsia" w:hAnsiTheme="minorEastAsia"/>
          <w:szCs w:val="24"/>
        </w:rPr>
        <w:t>℃</w:t>
      </w:r>
      <w:r>
        <w:rPr>
          <w:rFonts w:ascii="Times New Roman" w:cs="Times New Roman" w:hAnsiTheme="minorEastAsia"/>
          <w:szCs w:val="24"/>
        </w:rPr>
        <w:t>、</w:t>
      </w:r>
      <w:r>
        <w:rPr>
          <w:rFonts w:ascii="Times New Roman" w:hAnsi="Times New Roman" w:cs="Times New Roman"/>
          <w:szCs w:val="24"/>
        </w:rPr>
        <w:t>120rpm</w:t>
      </w:r>
      <w:r>
        <w:rPr>
          <w:rFonts w:ascii="Times New Roman" w:cs="Times New Roman" w:hAnsiTheme="minorEastAsia"/>
          <w:szCs w:val="24"/>
        </w:rPr>
        <w:t>恒温震荡培养</w:t>
      </w:r>
      <w:r>
        <w:rPr>
          <w:rFonts w:hint="eastAsia" w:ascii="Times New Roman" w:cs="Times New Roman" w:hAnsiTheme="minorEastAsia"/>
          <w:szCs w:val="24"/>
        </w:rPr>
        <w:t>。</w:t>
      </w:r>
    </w:p>
    <w:p>
      <w:pPr>
        <w:pStyle w:val="12"/>
        <w:widowControl/>
        <w:numPr>
          <w:ilvl w:val="255"/>
          <w:numId w:val="0"/>
        </w:numPr>
        <w:adjustRightInd w:val="0"/>
        <w:snapToGrid w:val="0"/>
        <w:spacing w:line="360" w:lineRule="auto"/>
        <w:rPr>
          <w:rFonts w:ascii="Times New Roman" w:cs="Times New Roman" w:hAnsiTheme="minorEastAsia"/>
          <w:szCs w:val="24"/>
        </w:rPr>
      </w:pPr>
      <w:r>
        <w:rPr>
          <w:rFonts w:hint="eastAsia" w:ascii="Times New Roman" w:cs="Times New Roman" w:hAnsiTheme="minorEastAsia"/>
          <w:szCs w:val="24"/>
        </w:rPr>
        <w:t xml:space="preserve"> 转染完成后将</w:t>
      </w:r>
      <w:r>
        <w:rPr>
          <w:rFonts w:ascii="Times New Roman" w:cs="Times New Roman" w:hAnsiTheme="minorEastAsia"/>
          <w:szCs w:val="24"/>
        </w:rPr>
        <w:t>摇瓶置于</w:t>
      </w:r>
      <w:r>
        <w:rPr>
          <w:rFonts w:ascii="Times New Roman" w:hAnsi="Times New Roman" w:cs="Times New Roman"/>
          <w:szCs w:val="24"/>
        </w:rPr>
        <w:t>5%</w:t>
      </w:r>
      <w:r>
        <w:rPr>
          <w:rFonts w:ascii="Times New Roman" w:cs="Times New Roman" w:hAnsiTheme="minorEastAsia"/>
          <w:szCs w:val="24"/>
        </w:rPr>
        <w:t>的</w:t>
      </w:r>
      <w:r>
        <w:rPr>
          <w:rFonts w:ascii="Times New Roman" w:hAnsi="Times New Roman" w:cs="Times New Roman"/>
          <w:szCs w:val="24"/>
        </w:rPr>
        <w:t>CO</w:t>
      </w:r>
      <w:r>
        <w:rPr>
          <w:rFonts w:ascii="Times New Roman" w:hAnsi="Times New Roman" w:cs="Times New Roman"/>
          <w:szCs w:val="24"/>
          <w:vertAlign w:val="subscript"/>
        </w:rPr>
        <w:t>2</w:t>
      </w:r>
      <w:r>
        <w:rPr>
          <w:rFonts w:hint="eastAsia" w:ascii="Times New Roman" w:hAnsi="Times New Roman" w:cs="Times New Roman"/>
          <w:szCs w:val="24"/>
          <w:vertAlign w:val="subscript"/>
        </w:rPr>
        <w:t>、</w:t>
      </w:r>
      <w:r>
        <w:rPr>
          <w:rFonts w:ascii="Times New Roman" w:hAnsi="Times New Roman" w:cs="Times New Roman"/>
          <w:szCs w:val="24"/>
        </w:rPr>
        <w:t>37</w:t>
      </w:r>
      <w:r>
        <w:rPr>
          <w:rFonts w:cs="Times New Roman" w:asciiTheme="minorEastAsia" w:hAnsiTheme="minorEastAsia"/>
          <w:szCs w:val="24"/>
        </w:rPr>
        <w:t>℃</w:t>
      </w:r>
      <w:r>
        <w:rPr>
          <w:rFonts w:ascii="Times New Roman" w:cs="Times New Roman" w:hAnsiTheme="minorEastAsia"/>
          <w:szCs w:val="24"/>
        </w:rPr>
        <w:t>、</w:t>
      </w:r>
      <w:r>
        <w:rPr>
          <w:rFonts w:ascii="Times New Roman" w:hAnsi="Times New Roman" w:cs="Times New Roman"/>
          <w:szCs w:val="24"/>
        </w:rPr>
        <w:t>120rpm</w:t>
      </w:r>
      <w:r>
        <w:rPr>
          <w:rFonts w:ascii="Times New Roman" w:cs="Times New Roman" w:hAnsiTheme="minorEastAsia"/>
          <w:szCs w:val="24"/>
        </w:rPr>
        <w:t>恒温摇床中震荡培养</w:t>
      </w:r>
      <w:r>
        <w:rPr>
          <w:rFonts w:hint="eastAsia" w:ascii="Times New Roman" w:cs="Times New Roman" w:hAnsiTheme="minorEastAsia"/>
          <w:szCs w:val="24"/>
        </w:rPr>
        <w:t>表达。</w:t>
      </w:r>
    </w:p>
    <w:p>
      <w:pPr>
        <w:pStyle w:val="12"/>
        <w:widowControl/>
        <w:numPr>
          <w:ilvl w:val="255"/>
          <w:numId w:val="0"/>
        </w:numPr>
        <w:adjustRightInd w:val="0"/>
        <w:snapToGrid w:val="0"/>
        <w:spacing w:line="360" w:lineRule="auto"/>
        <w:rPr>
          <w:rFonts w:ascii="Times New Roman" w:hAnsi="Times New Roman" w:cs="Times New Roman"/>
          <w:szCs w:val="24"/>
        </w:rPr>
      </w:pPr>
      <w:r>
        <w:rPr>
          <w:rFonts w:ascii="Times New Roman" w:cs="Times New Roman" w:hAnsiTheme="minorEastAsia"/>
          <w:szCs w:val="24"/>
        </w:rPr>
        <w:t>（客户也可根据</w:t>
      </w:r>
      <w:r>
        <w:rPr>
          <w:rFonts w:hint="eastAsia" w:ascii="Times New Roman" w:cs="Times New Roman" w:hAnsiTheme="minorEastAsia"/>
          <w:szCs w:val="24"/>
        </w:rPr>
        <w:t>自身经验摸</w:t>
      </w:r>
      <w:r>
        <w:rPr>
          <w:rFonts w:ascii="Times New Roman" w:cs="Times New Roman" w:hAnsiTheme="minorEastAsia"/>
          <w:szCs w:val="24"/>
        </w:rPr>
        <w:t>索合适的转染密度）</w:t>
      </w:r>
    </w:p>
    <w:tbl>
      <w:tblPr>
        <w:tblStyle w:val="9"/>
        <w:tblW w:w="9962" w:type="dxa"/>
        <w:tblInd w:w="0" w:type="dxa"/>
        <w:tblBorders>
          <w:top w:val="dashed" w:color="7E7E7E" w:themeColor="text1" w:themeTint="80" w:sz="12" w:space="0"/>
          <w:left w:val="dashed" w:color="7E7E7E" w:themeColor="text1" w:themeTint="80" w:sz="12" w:space="0"/>
          <w:bottom w:val="dashed" w:color="7E7E7E" w:themeColor="text1" w:themeTint="80" w:sz="12" w:space="0"/>
          <w:right w:val="dashed" w:color="7E7E7E" w:themeColor="text1" w:themeTint="80" w:sz="12" w:space="0"/>
          <w:insideH w:val="dashed" w:color="7E7E7E" w:themeColor="text1" w:themeTint="80" w:sz="12" w:space="0"/>
          <w:insideV w:val="dashed" w:color="7E7E7E" w:themeColor="text1" w:themeTint="80" w:sz="12" w:space="0"/>
        </w:tblBorders>
        <w:tblLayout w:type="fixed"/>
        <w:tblCellMar>
          <w:top w:w="0" w:type="dxa"/>
          <w:left w:w="108" w:type="dxa"/>
          <w:bottom w:w="0" w:type="dxa"/>
          <w:right w:w="108" w:type="dxa"/>
        </w:tblCellMar>
      </w:tblPr>
      <w:tblGrid>
        <w:gridCol w:w="9962"/>
      </w:tblGrid>
      <w:tr>
        <w:tblPrEx>
          <w:tblBorders>
            <w:top w:val="dashed" w:color="7E7E7E" w:themeColor="text1" w:themeTint="80" w:sz="12" w:space="0"/>
            <w:left w:val="dashed" w:color="7E7E7E" w:themeColor="text1" w:themeTint="80" w:sz="12" w:space="0"/>
            <w:bottom w:val="dashed" w:color="7E7E7E" w:themeColor="text1" w:themeTint="80" w:sz="12" w:space="0"/>
            <w:right w:val="dashed" w:color="7E7E7E" w:themeColor="text1" w:themeTint="80" w:sz="12" w:space="0"/>
            <w:insideH w:val="dashed" w:color="7E7E7E" w:themeColor="text1" w:themeTint="80" w:sz="12" w:space="0"/>
            <w:insideV w:val="dashed" w:color="7E7E7E" w:themeColor="text1" w:themeTint="80" w:sz="12" w:space="0"/>
          </w:tblBorders>
          <w:tblCellMar>
            <w:top w:w="0" w:type="dxa"/>
            <w:left w:w="108" w:type="dxa"/>
            <w:bottom w:w="0" w:type="dxa"/>
            <w:right w:w="108" w:type="dxa"/>
          </w:tblCellMar>
        </w:tblPrEx>
        <w:tc>
          <w:tcPr>
            <w:tcW w:w="9962" w:type="dxa"/>
          </w:tcPr>
          <w:p>
            <w:pPr>
              <w:widowControl/>
              <w:adjustRightInd w:val="0"/>
              <w:snapToGrid w:val="0"/>
              <w:spacing w:line="360" w:lineRule="auto"/>
              <w:ind w:firstLine="361"/>
              <w:rPr>
                <w:rFonts w:ascii="Times New Roman" w:hAnsi="Times New Roman" w:cs="Times New Roman"/>
                <w:b/>
                <w:sz w:val="18"/>
                <w:szCs w:val="18"/>
              </w:rPr>
            </w:pPr>
            <w:r>
              <w:rPr>
                <w:rFonts w:ascii="Times New Roman" w:cs="Times New Roman" w:hAnsiTheme="minorEastAsia"/>
                <w:b/>
                <w:sz w:val="18"/>
                <w:szCs w:val="18"/>
              </w:rPr>
              <w:t>操作要点及注意事项：</w:t>
            </w:r>
          </w:p>
          <w:p>
            <w:pPr>
              <w:pStyle w:val="12"/>
              <w:widowControl/>
              <w:numPr>
                <w:ilvl w:val="0"/>
                <w:numId w:val="6"/>
              </w:numPr>
              <w:adjustRightInd w:val="0"/>
              <w:snapToGrid w:val="0"/>
              <w:spacing w:line="360" w:lineRule="auto"/>
              <w:ind w:firstLineChars="0"/>
              <w:rPr>
                <w:rFonts w:ascii="Times New Roman" w:hAnsi="Times New Roman" w:cs="Times New Roman"/>
                <w:sz w:val="18"/>
                <w:szCs w:val="18"/>
              </w:rPr>
            </w:pPr>
            <w:r>
              <w:rPr>
                <w:rFonts w:ascii="Times New Roman" w:cs="Times New Roman" w:hAnsiTheme="minorEastAsia"/>
                <w:sz w:val="18"/>
                <w:szCs w:val="18"/>
              </w:rPr>
              <w:t>请确保细胞处于对数</w:t>
            </w:r>
            <w:r>
              <w:rPr>
                <w:rFonts w:hint="eastAsia" w:ascii="Times New Roman" w:cs="Times New Roman" w:hAnsiTheme="minorEastAsia"/>
                <w:sz w:val="18"/>
                <w:szCs w:val="18"/>
              </w:rPr>
              <w:t>生长</w:t>
            </w:r>
            <w:r>
              <w:rPr>
                <w:rFonts w:ascii="Times New Roman" w:cs="Times New Roman" w:hAnsiTheme="minorEastAsia"/>
                <w:sz w:val="18"/>
                <w:szCs w:val="18"/>
              </w:rPr>
              <w:t>期</w:t>
            </w:r>
            <w:r>
              <w:rPr>
                <w:rFonts w:hint="eastAsia" w:ascii="Times New Roman" w:cs="Times New Roman" w:hAnsiTheme="minorEastAsia"/>
                <w:sz w:val="18"/>
                <w:szCs w:val="18"/>
              </w:rPr>
              <w:t>（2~7×10</w:t>
            </w:r>
            <w:r>
              <w:rPr>
                <w:rFonts w:hint="eastAsia" w:ascii="Times New Roman" w:cs="Times New Roman" w:hAnsiTheme="minorEastAsia"/>
                <w:sz w:val="18"/>
                <w:szCs w:val="18"/>
                <w:vertAlign w:val="superscript"/>
              </w:rPr>
              <w:t>6</w:t>
            </w:r>
            <w:r>
              <w:t xml:space="preserve"> </w:t>
            </w:r>
            <w:r>
              <w:rPr>
                <w:rFonts w:ascii="Times New Roman" w:cs="Times New Roman" w:hAnsiTheme="minorEastAsia"/>
                <w:sz w:val="18"/>
                <w:szCs w:val="18"/>
              </w:rPr>
              <w:t>cells/ml</w:t>
            </w:r>
            <w:r>
              <w:rPr>
                <w:rFonts w:hint="eastAsia" w:ascii="Times New Roman" w:cs="Times New Roman" w:hAnsiTheme="minorEastAsia"/>
                <w:sz w:val="18"/>
                <w:szCs w:val="18"/>
              </w:rPr>
              <w:t>）</w:t>
            </w:r>
            <w:r>
              <w:rPr>
                <w:rFonts w:ascii="Times New Roman" w:cs="Times New Roman" w:hAnsiTheme="minorEastAsia"/>
                <w:sz w:val="18"/>
                <w:szCs w:val="18"/>
              </w:rPr>
              <w:t>，</w:t>
            </w:r>
            <w:r>
              <w:rPr>
                <w:rFonts w:hint="eastAsia" w:ascii="Times New Roman" w:cs="Times New Roman" w:hAnsiTheme="minorEastAsia"/>
                <w:sz w:val="18"/>
                <w:szCs w:val="18"/>
              </w:rPr>
              <w:t>当细胞密度&gt;2×10</w:t>
            </w:r>
            <w:r>
              <w:rPr>
                <w:rFonts w:hint="eastAsia" w:ascii="Times New Roman" w:cs="Times New Roman" w:hAnsiTheme="minorEastAsia"/>
                <w:sz w:val="18"/>
                <w:szCs w:val="18"/>
                <w:vertAlign w:val="superscript"/>
              </w:rPr>
              <w:t>6</w:t>
            </w:r>
            <w:r>
              <w:t xml:space="preserve"> </w:t>
            </w:r>
            <w:r>
              <w:rPr>
                <w:rFonts w:ascii="Times New Roman" w:cs="Times New Roman" w:hAnsiTheme="minorEastAsia"/>
                <w:sz w:val="18"/>
                <w:szCs w:val="18"/>
              </w:rPr>
              <w:t>cells/ml</w:t>
            </w:r>
            <w:r>
              <w:rPr>
                <w:rFonts w:hint="eastAsia" w:ascii="Times New Roman" w:cs="Times New Roman" w:hAnsiTheme="minorEastAsia"/>
                <w:sz w:val="18"/>
                <w:szCs w:val="18"/>
              </w:rPr>
              <w:t xml:space="preserve"> 时，使用新鲜的培养液重悬，</w:t>
            </w:r>
            <w:r>
              <w:rPr>
                <w:rFonts w:hint="eastAsia" w:ascii="Times New Roman" w:cs="Times New Roman" w:hAnsiTheme="minorEastAsia"/>
                <w:b/>
                <w:bCs/>
                <w:sz w:val="18"/>
                <w:szCs w:val="18"/>
              </w:rPr>
              <w:t>若</w:t>
            </w:r>
            <w:r>
              <w:rPr>
                <w:rFonts w:ascii="Times New Roman" w:cs="Times New Roman" w:hAnsiTheme="minorEastAsia"/>
                <w:b/>
                <w:bCs/>
                <w:sz w:val="18"/>
                <w:szCs w:val="18"/>
              </w:rPr>
              <w:t>使用处于非对数</w:t>
            </w:r>
            <w:r>
              <w:rPr>
                <w:rFonts w:hint="eastAsia" w:ascii="Times New Roman" w:cs="Times New Roman" w:hAnsiTheme="minorEastAsia"/>
                <w:b/>
                <w:bCs/>
                <w:sz w:val="18"/>
                <w:szCs w:val="18"/>
              </w:rPr>
              <w:t>生长</w:t>
            </w:r>
            <w:r>
              <w:rPr>
                <w:rFonts w:ascii="Times New Roman" w:cs="Times New Roman" w:hAnsiTheme="minorEastAsia"/>
                <w:b/>
                <w:bCs/>
                <w:sz w:val="18"/>
                <w:szCs w:val="18"/>
              </w:rPr>
              <w:t>期的</w:t>
            </w:r>
            <w:r>
              <w:rPr>
                <w:rFonts w:ascii="Times New Roman" w:hAnsi="Times New Roman" w:cs="Times New Roman"/>
                <w:b/>
                <w:bCs/>
                <w:sz w:val="18"/>
                <w:szCs w:val="18"/>
              </w:rPr>
              <w:t>293</w:t>
            </w:r>
            <w:r>
              <w:rPr>
                <w:rFonts w:ascii="Times New Roman" w:cs="Times New Roman" w:hAnsiTheme="minorEastAsia"/>
                <w:b/>
                <w:bCs/>
                <w:sz w:val="18"/>
                <w:szCs w:val="18"/>
              </w:rPr>
              <w:t>细胞做转染，转染效率及表达量会偏低</w:t>
            </w:r>
            <w:r>
              <w:rPr>
                <w:rFonts w:ascii="Times New Roman" w:cs="Times New Roman" w:hAnsiTheme="minorEastAsia"/>
                <w:sz w:val="18"/>
                <w:szCs w:val="18"/>
              </w:rPr>
              <w:t>；</w:t>
            </w:r>
          </w:p>
          <w:p>
            <w:pPr>
              <w:pStyle w:val="12"/>
              <w:widowControl/>
              <w:numPr>
                <w:ilvl w:val="0"/>
                <w:numId w:val="6"/>
              </w:numPr>
              <w:adjustRightInd w:val="0"/>
              <w:snapToGrid w:val="0"/>
              <w:spacing w:line="360" w:lineRule="auto"/>
              <w:ind w:firstLineChars="0"/>
              <w:rPr>
                <w:rFonts w:ascii="Times New Roman" w:hAnsi="Times New Roman" w:cs="Times New Roman"/>
                <w:sz w:val="18"/>
                <w:szCs w:val="18"/>
              </w:rPr>
            </w:pPr>
            <w:r>
              <w:rPr>
                <w:rFonts w:hint="eastAsia" w:ascii="Times New Roman" w:cs="Times New Roman" w:hAnsiTheme="minorEastAsia"/>
                <w:sz w:val="18"/>
                <w:szCs w:val="18"/>
              </w:rPr>
              <w:t>使用非细胞计数仪的客户，若因细胞计数误差较大，应注意尽量控制细胞转染密度为3.5~4.0×10</w:t>
            </w:r>
            <w:r>
              <w:rPr>
                <w:rFonts w:hint="eastAsia" w:ascii="Times New Roman" w:cs="Times New Roman" w:hAnsiTheme="minorEastAsia"/>
                <w:sz w:val="18"/>
                <w:szCs w:val="18"/>
                <w:vertAlign w:val="superscript"/>
              </w:rPr>
              <w:t>6</w:t>
            </w:r>
            <w:r>
              <w:t xml:space="preserve"> </w:t>
            </w:r>
            <w:r>
              <w:rPr>
                <w:rFonts w:ascii="Times New Roman" w:cs="Times New Roman" w:hAnsiTheme="minorEastAsia"/>
                <w:sz w:val="18"/>
                <w:szCs w:val="18"/>
              </w:rPr>
              <w:t>cells/ml</w:t>
            </w:r>
            <w:r>
              <w:rPr>
                <w:rFonts w:hint="eastAsia" w:ascii="Times New Roman" w:cs="Times New Roman" w:hAnsiTheme="minorEastAsia"/>
                <w:sz w:val="18"/>
                <w:szCs w:val="18"/>
              </w:rPr>
              <w:t>；</w:t>
            </w:r>
          </w:p>
          <w:p>
            <w:pPr>
              <w:pStyle w:val="12"/>
              <w:widowControl/>
              <w:numPr>
                <w:ilvl w:val="0"/>
                <w:numId w:val="6"/>
              </w:numPr>
              <w:adjustRightInd w:val="0"/>
              <w:snapToGrid w:val="0"/>
              <w:spacing w:line="360" w:lineRule="auto"/>
              <w:ind w:firstLineChars="0"/>
              <w:rPr>
                <w:rFonts w:ascii="Times New Roman" w:hAnsi="Times New Roman" w:cs="Times New Roman"/>
                <w:sz w:val="18"/>
                <w:szCs w:val="18"/>
              </w:rPr>
            </w:pPr>
            <w:r>
              <w:rPr>
                <w:rFonts w:ascii="Times New Roman" w:cs="Times New Roman" w:hAnsiTheme="minorEastAsia"/>
                <w:sz w:val="18"/>
                <w:szCs w:val="18"/>
              </w:rPr>
              <w:t>请确保细胞存活率高于</w:t>
            </w:r>
            <w:r>
              <w:rPr>
                <w:rFonts w:ascii="Times New Roman" w:hAnsi="Times New Roman" w:cs="Times New Roman"/>
                <w:sz w:val="18"/>
                <w:szCs w:val="18"/>
              </w:rPr>
              <w:t>9</w:t>
            </w:r>
            <w:r>
              <w:rPr>
                <w:rFonts w:hint="eastAsia" w:ascii="Times New Roman" w:hAnsi="Times New Roman" w:cs="Times New Roman"/>
                <w:sz w:val="18"/>
                <w:szCs w:val="18"/>
              </w:rPr>
              <w:t>8</w:t>
            </w:r>
            <w:r>
              <w:rPr>
                <w:rFonts w:ascii="Times New Roman" w:hAnsi="Times New Roman" w:cs="Times New Roman"/>
                <w:sz w:val="18"/>
                <w:szCs w:val="18"/>
              </w:rPr>
              <w:t>%</w:t>
            </w:r>
            <w:r>
              <w:rPr>
                <w:rFonts w:ascii="Times New Roman" w:cs="Times New Roman" w:hAnsiTheme="minorEastAsia"/>
                <w:sz w:val="18"/>
                <w:szCs w:val="18"/>
              </w:rPr>
              <w:t>，使用状态不佳的细胞转染效率、表达量、表达天数会受影响；</w:t>
            </w:r>
          </w:p>
          <w:p>
            <w:pPr>
              <w:pStyle w:val="12"/>
              <w:widowControl/>
              <w:numPr>
                <w:ilvl w:val="0"/>
                <w:numId w:val="6"/>
              </w:numPr>
              <w:adjustRightInd w:val="0"/>
              <w:snapToGrid w:val="0"/>
              <w:spacing w:line="360" w:lineRule="auto"/>
              <w:ind w:firstLineChars="0"/>
              <w:rPr>
                <w:rFonts w:ascii="Times New Roman" w:hAnsi="Times New Roman" w:cs="Times New Roman"/>
                <w:sz w:val="18"/>
                <w:szCs w:val="18"/>
              </w:rPr>
            </w:pPr>
            <w:r>
              <w:rPr>
                <w:rFonts w:ascii="Times New Roman" w:cs="Times New Roman" w:hAnsiTheme="minorEastAsia"/>
                <w:sz w:val="18"/>
                <w:szCs w:val="18"/>
              </w:rPr>
              <w:t>细胞稀释至</w:t>
            </w:r>
            <w:r>
              <w:rPr>
                <w:rFonts w:hint="eastAsia" w:ascii="Times New Roman" w:hAnsi="Times New Roman" w:cs="Times New Roman"/>
                <w:sz w:val="18"/>
                <w:szCs w:val="18"/>
              </w:rPr>
              <w:t>2</w:t>
            </w:r>
            <w:r>
              <w:rPr>
                <w:rFonts w:ascii="Times New Roman" w:hAnsi="Times New Roman" w:cs="Times New Roman"/>
                <w:sz w:val="18"/>
                <w:szCs w:val="18"/>
              </w:rPr>
              <w:t>.0×10</w:t>
            </w:r>
            <w:r>
              <w:rPr>
                <w:rFonts w:ascii="Times New Roman" w:hAnsi="Times New Roman" w:cs="Times New Roman"/>
                <w:sz w:val="18"/>
                <w:szCs w:val="18"/>
                <w:vertAlign w:val="superscript"/>
              </w:rPr>
              <w:t>6</w:t>
            </w:r>
            <w:r>
              <w:t xml:space="preserve"> </w:t>
            </w:r>
            <w:r>
              <w:rPr>
                <w:rFonts w:ascii="Times New Roman" w:cs="Times New Roman" w:hAnsiTheme="minorEastAsia"/>
                <w:sz w:val="18"/>
                <w:szCs w:val="18"/>
              </w:rPr>
              <w:t>cells/ml</w:t>
            </w:r>
            <w:r>
              <w:rPr>
                <w:rFonts w:hint="eastAsia" w:ascii="Times New Roman" w:cs="Times New Roman" w:hAnsiTheme="minorEastAsia"/>
                <w:sz w:val="18"/>
                <w:szCs w:val="18"/>
              </w:rPr>
              <w:t>后，细胞悬液需置于摇床中培养24小时后再做转染。</w:t>
            </w:r>
          </w:p>
          <w:p>
            <w:pPr>
              <w:pStyle w:val="12"/>
              <w:widowControl/>
              <w:numPr>
                <w:ilvl w:val="0"/>
                <w:numId w:val="6"/>
              </w:numPr>
              <w:adjustRightInd w:val="0"/>
              <w:snapToGrid w:val="0"/>
              <w:spacing w:line="360" w:lineRule="auto"/>
              <w:ind w:firstLineChars="0"/>
              <w:rPr>
                <w:rFonts w:ascii="Times New Roman" w:hAnsi="Times New Roman" w:cs="Times New Roman"/>
                <w:sz w:val="18"/>
                <w:szCs w:val="18"/>
              </w:rPr>
            </w:pPr>
            <w:r>
              <w:rPr>
                <w:rFonts w:hint="eastAsia" w:ascii="Times New Roman" w:cs="Times New Roman" w:hAnsiTheme="minorEastAsia"/>
                <w:sz w:val="18"/>
                <w:szCs w:val="18"/>
              </w:rPr>
              <w:t>转染效率与质粒大小有关，质粒较大时，建议接种低细胞密度进行转染，客户可根据自身质粒大小摸索合适的细胞转染密度（≤4.0×10</w:t>
            </w:r>
            <w:r>
              <w:rPr>
                <w:rFonts w:hint="eastAsia" w:ascii="Times New Roman" w:cs="Times New Roman" w:hAnsiTheme="minorEastAsia"/>
                <w:sz w:val="18"/>
                <w:szCs w:val="18"/>
                <w:vertAlign w:val="superscript"/>
              </w:rPr>
              <w:t>6</w:t>
            </w:r>
            <w:r>
              <w:t xml:space="preserve"> </w:t>
            </w:r>
            <w:r>
              <w:rPr>
                <w:rFonts w:ascii="Times New Roman" w:cs="Times New Roman" w:hAnsiTheme="minorEastAsia"/>
                <w:sz w:val="18"/>
                <w:szCs w:val="18"/>
              </w:rPr>
              <w:t>cells/ml</w:t>
            </w:r>
            <w:r>
              <w:rPr>
                <w:rFonts w:hint="eastAsia" w:ascii="Times New Roman" w:cs="Times New Roman" w:hAnsiTheme="minorEastAsia"/>
                <w:sz w:val="18"/>
                <w:szCs w:val="18"/>
              </w:rPr>
              <w:t>）。</w:t>
            </w:r>
          </w:p>
        </w:tc>
      </w:tr>
    </w:tbl>
    <w:p>
      <w:pPr>
        <w:pStyle w:val="3"/>
        <w:rPr>
          <w:rFonts w:hAnsi="Times New Roman"/>
        </w:rPr>
      </w:pPr>
    </w:p>
    <w:p>
      <w:pPr>
        <w:pStyle w:val="3"/>
      </w:pPr>
      <w:r>
        <w:rPr>
          <w:rFonts w:hAnsi="Times New Roman"/>
        </w:rPr>
        <w:t>2.</w:t>
      </w:r>
      <w:r>
        <w:rPr>
          <w:rFonts w:hint="eastAsia" w:hAnsi="Times New Roman"/>
        </w:rPr>
        <w:t>3</w:t>
      </w:r>
      <w:r>
        <w:t>细胞</w:t>
      </w:r>
      <w:r>
        <w:rPr>
          <w:rFonts w:hint="eastAsia"/>
        </w:rPr>
        <w:t>转染</w:t>
      </w:r>
    </w:p>
    <w:p>
      <w:pPr>
        <w:spacing w:line="360" w:lineRule="auto"/>
        <w:ind w:firstLine="480"/>
      </w:pPr>
      <w:r>
        <w:t>测</w:t>
      </w:r>
      <w:r>
        <w:rPr>
          <w:rFonts w:hint="eastAsia"/>
        </w:rPr>
        <w:t>定</w:t>
      </w:r>
      <w:r>
        <w:t>细胞活率与密度并计数，</w:t>
      </w:r>
      <w:r>
        <w:rPr>
          <w:rFonts w:hint="eastAsia" w:ascii="宋体" w:hAnsi="宋体"/>
        </w:rPr>
        <w:t>获取长势较好且密度处于</w:t>
      </w:r>
      <w:r>
        <w:rPr>
          <w:rFonts w:ascii="宋体" w:hAnsi="宋体"/>
        </w:rPr>
        <w:t>细胞对数生长期</w:t>
      </w:r>
      <w:r>
        <w:rPr>
          <w:rFonts w:hint="eastAsia" w:ascii="宋体" w:hAnsi="宋体"/>
        </w:rPr>
        <w:t>的</w:t>
      </w:r>
      <w:r>
        <w:rPr>
          <w:rFonts w:ascii="Times New Roman" w:hAnsi="Times New Roman" w:cs="Times New Roman"/>
          <w:szCs w:val="24"/>
        </w:rPr>
        <w:t>HEK293</w:t>
      </w:r>
      <w:r>
        <w:rPr>
          <w:rFonts w:hint="eastAsia" w:ascii="宋体" w:hAnsi="宋体"/>
        </w:rPr>
        <w:t>细胞。</w:t>
      </w:r>
      <w:r>
        <w:t>按</w:t>
      </w:r>
      <w:r>
        <w:rPr>
          <w:rFonts w:hint="eastAsia"/>
        </w:rPr>
        <w:t>接种密度为</w:t>
      </w:r>
      <w:r>
        <w:rPr>
          <w:rFonts w:hint="eastAsia"/>
          <w:b/>
          <w:bCs/>
        </w:rPr>
        <w:t>4</w:t>
      </w:r>
      <w:r>
        <w:rPr>
          <w:b/>
          <w:bCs/>
        </w:rPr>
        <w:t>.0×10</w:t>
      </w:r>
      <w:r>
        <w:rPr>
          <w:b/>
          <w:bCs/>
          <w:vertAlign w:val="superscript"/>
        </w:rPr>
        <w:t xml:space="preserve">6 </w:t>
      </w:r>
      <w:r>
        <w:rPr>
          <w:rFonts w:hint="eastAsia"/>
          <w:b/>
          <w:bCs/>
        </w:rPr>
        <w:t>cells</w:t>
      </w:r>
      <w:r>
        <w:rPr>
          <w:b/>
          <w:bCs/>
        </w:rPr>
        <w:t>/</w:t>
      </w:r>
      <w:r>
        <w:rPr>
          <w:rFonts w:hint="eastAsia"/>
          <w:b/>
          <w:bCs/>
        </w:rPr>
        <w:t>ml</w:t>
      </w:r>
      <w:r>
        <w:rPr>
          <w:rFonts w:hint="eastAsia"/>
        </w:rPr>
        <w:t>，接种体积根据实验需求进行选择，可参考下列表Ⅱ，细胞接种后</w:t>
      </w:r>
      <w:r>
        <w:t>置于CO</w:t>
      </w:r>
      <w:r>
        <w:rPr>
          <w:vertAlign w:val="subscript"/>
        </w:rPr>
        <w:t>2</w:t>
      </w:r>
      <w:r>
        <w:t>培养箱内的酶标板混匀器200rpm培养</w:t>
      </w:r>
      <w:r>
        <w:rPr>
          <w:rFonts w:hint="eastAsia"/>
        </w:rPr>
        <w:t>或</w:t>
      </w:r>
      <w:r>
        <w:t>CO</w:t>
      </w:r>
      <w:r>
        <w:rPr>
          <w:vertAlign w:val="subscript"/>
        </w:rPr>
        <w:t>2</w:t>
      </w:r>
      <w:r>
        <w:rPr>
          <w:rFonts w:hint="eastAsia"/>
        </w:rPr>
        <w:t>摇床120rpm培养（培养箱或摇床参数设置为：</w:t>
      </w:r>
      <w:r>
        <w:t>37℃、5%CO</w:t>
      </w:r>
      <w:r>
        <w:rPr>
          <w:vertAlign w:val="subscript"/>
        </w:rPr>
        <w:t>2</w:t>
      </w:r>
      <w:r>
        <w:rPr>
          <w:rFonts w:hint="eastAsia"/>
        </w:rPr>
        <w:t>）。</w:t>
      </w:r>
    </w:p>
    <w:p>
      <w:pPr>
        <w:ind w:firstLine="482"/>
        <w:jc w:val="center"/>
      </w:pPr>
      <w:r>
        <w:rPr>
          <w:rFonts w:hint="eastAsia" w:ascii="宋体" w:hAnsi="宋体"/>
          <w:b/>
          <w:bCs/>
          <w:szCs w:val="24"/>
        </w:rPr>
        <w:t>表</w:t>
      </w:r>
      <w:r>
        <w:rPr>
          <w:rFonts w:hint="eastAsia"/>
          <w:b/>
          <w:bCs/>
        </w:rPr>
        <w:t>Ⅱ</w:t>
      </w:r>
      <w:r>
        <w:rPr>
          <w:rFonts w:hint="eastAsia" w:ascii="宋体" w:hAnsi="宋体"/>
          <w:b/>
          <w:bCs/>
          <w:color w:val="333333"/>
          <w:szCs w:val="24"/>
          <w:shd w:val="clear" w:color="auto" w:fill="FFFFFF"/>
        </w:rPr>
        <w:t>：不同培养体积相关</w:t>
      </w:r>
      <w:r>
        <w:rPr>
          <w:rFonts w:hint="eastAsia" w:ascii="宋体" w:hAnsi="宋体"/>
          <w:b/>
          <w:bCs/>
          <w:szCs w:val="24"/>
        </w:rPr>
        <w:t>参数参考</w:t>
      </w:r>
    </w:p>
    <w:p>
      <w:pPr>
        <w:spacing w:line="360" w:lineRule="auto"/>
        <w:ind w:firstLine="480"/>
        <w:jc w:val="both"/>
        <w:rPr>
          <w:rFonts w:ascii="Times New Roman" w:hAnsi="Times New Roman" w:cs="Times New Roman"/>
          <w:b/>
          <w:szCs w:val="24"/>
        </w:rPr>
      </w:pPr>
      <w:r>
        <w:drawing>
          <wp:inline distT="0" distB="0" distL="114300" distR="114300">
            <wp:extent cx="6192520" cy="1426210"/>
            <wp:effectExtent l="0" t="0" r="1778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192520" cy="1426210"/>
                    </a:xfrm>
                    <a:prstGeom prst="rect">
                      <a:avLst/>
                    </a:prstGeom>
                    <a:noFill/>
                    <a:ln>
                      <a:noFill/>
                    </a:ln>
                  </pic:spPr>
                </pic:pic>
              </a:graphicData>
            </a:graphic>
          </wp:inline>
        </w:drawing>
      </w:r>
    </w:p>
    <w:p>
      <w:pPr>
        <w:pStyle w:val="3"/>
      </w:pPr>
      <w:r>
        <w:t>2.</w:t>
      </w:r>
      <w:r>
        <w:rPr>
          <w:rFonts w:hint="eastAsia"/>
        </w:rPr>
        <w:t>3.1</w:t>
      </w:r>
      <w:r>
        <w:t>转染（</w:t>
      </w:r>
      <w:r>
        <w:rPr>
          <w:rFonts w:hint="eastAsia"/>
        </w:rPr>
        <w:t>24孔板</w:t>
      </w:r>
      <w:r>
        <w:t>）</w:t>
      </w:r>
    </w:p>
    <w:p>
      <w:pPr>
        <w:spacing w:line="360" w:lineRule="auto"/>
        <w:ind w:firstLine="482"/>
      </w:pPr>
      <w:r>
        <w:rPr>
          <w:rFonts w:hint="eastAsia"/>
          <w:b/>
        </w:rPr>
        <w:t>接种细胞1ml/孔，转染</w:t>
      </w:r>
      <w:r>
        <w:rPr>
          <w:b/>
        </w:rPr>
        <w:t>复合物</w:t>
      </w:r>
      <w:r>
        <w:rPr>
          <w:rFonts w:hint="eastAsia"/>
          <w:b/>
        </w:rPr>
        <w:t>的配置</w:t>
      </w:r>
      <w:r>
        <w:rPr>
          <w:b/>
        </w:rPr>
        <w:t>，以</w:t>
      </w:r>
      <w:r>
        <w:rPr>
          <w:rFonts w:hint="eastAsia"/>
          <w:b/>
        </w:rPr>
        <w:t>1</w:t>
      </w:r>
      <w:r>
        <w:rPr>
          <w:b/>
        </w:rPr>
        <w:t>孔为例</w:t>
      </w:r>
      <w:r>
        <w:t>：</w:t>
      </w:r>
    </w:p>
    <w:p>
      <w:pPr>
        <w:pStyle w:val="12"/>
        <w:numPr>
          <w:ilvl w:val="0"/>
          <w:numId w:val="7"/>
        </w:numPr>
        <w:spacing w:line="360" w:lineRule="auto"/>
        <w:ind w:firstLineChars="0"/>
      </w:pPr>
      <w:r>
        <w:t>离心管1中加入50 μl的KPM培养液、2 μg</w:t>
      </w:r>
      <w:r>
        <w:rPr>
          <w:rFonts w:hint="eastAsia"/>
        </w:rPr>
        <w:t>DNA（GFP荧光质粒）</w:t>
      </w:r>
      <w:r>
        <w:t>；</w:t>
      </w:r>
    </w:p>
    <w:p>
      <w:pPr>
        <w:pStyle w:val="12"/>
        <w:numPr>
          <w:ilvl w:val="0"/>
          <w:numId w:val="7"/>
        </w:numPr>
        <w:spacing w:line="360" w:lineRule="auto"/>
        <w:ind w:firstLineChars="0"/>
      </w:pPr>
      <w:r>
        <w:t>离心管2中加入50 μl的KPM培养液、10</w:t>
      </w:r>
      <w:r>
        <w:rPr>
          <w:rFonts w:hint="eastAsia"/>
        </w:rPr>
        <w:t xml:space="preserve"> </w:t>
      </w:r>
      <w:r>
        <w:rPr>
          <w:rFonts w:ascii="Times New Roman" w:hAnsi="Times New Roman" w:cs="Times New Roman"/>
          <w:szCs w:val="24"/>
        </w:rPr>
        <w:t>μl</w:t>
      </w:r>
      <w:r>
        <w:t>的</w:t>
      </w:r>
      <w:r>
        <w:rPr>
          <w:rFonts w:hint="eastAsia"/>
        </w:rPr>
        <w:t>TA-293</w:t>
      </w:r>
      <w:r>
        <w:t>（DNA:</w:t>
      </w:r>
      <w:r>
        <w:rPr>
          <w:rFonts w:hint="eastAsia"/>
        </w:rPr>
        <w:t>转染试剂</w:t>
      </w:r>
      <w:r>
        <w:t>=1:5</w:t>
      </w:r>
      <w:r>
        <w:rPr>
          <w:rFonts w:hint="eastAsia"/>
        </w:rPr>
        <w:t xml:space="preserve"> m/v</w:t>
      </w:r>
      <w:r>
        <w:t>）；</w:t>
      </w:r>
    </w:p>
    <w:p>
      <w:pPr>
        <w:pStyle w:val="12"/>
        <w:numPr>
          <w:ilvl w:val="0"/>
          <w:numId w:val="7"/>
        </w:numPr>
        <w:spacing w:line="360" w:lineRule="auto"/>
        <w:ind w:firstLineChars="0"/>
      </w:pPr>
      <w:r>
        <w:t>将</w:t>
      </w:r>
      <w:r>
        <w:rPr>
          <w:rFonts w:hint="eastAsia"/>
        </w:rPr>
        <w:t>离心</w:t>
      </w:r>
      <w:r>
        <w:t>管2加入</w:t>
      </w:r>
      <w:r>
        <w:rPr>
          <w:rFonts w:hint="eastAsia"/>
        </w:rPr>
        <w:t>离心</w:t>
      </w:r>
      <w:r>
        <w:t>管1中，混匀，静置</w:t>
      </w:r>
      <w:r>
        <w:rPr>
          <w:rFonts w:hint="eastAsia"/>
        </w:rPr>
        <w:t>孵育10</w:t>
      </w:r>
      <w:r>
        <w:t xml:space="preserve"> min</w:t>
      </w:r>
      <w:r>
        <w:rPr>
          <w:rFonts w:hint="eastAsia"/>
        </w:rPr>
        <w:t>；</w:t>
      </w:r>
    </w:p>
    <w:p>
      <w:pPr>
        <w:pStyle w:val="12"/>
        <w:numPr>
          <w:ilvl w:val="0"/>
          <w:numId w:val="7"/>
        </w:numPr>
        <w:spacing w:line="360" w:lineRule="auto"/>
        <w:ind w:firstLineChars="0"/>
      </w:pPr>
      <w:r>
        <w:t>将上述复合物加入6孔板中，置于37℃，5% CO2浓度的静置培养箱内的酶标板混匀器200 rpm培养。</w:t>
      </w:r>
    </w:p>
    <w:p>
      <w:pPr>
        <w:pStyle w:val="12"/>
        <w:numPr>
          <w:ilvl w:val="255"/>
          <w:numId w:val="0"/>
        </w:numPr>
        <w:ind w:firstLine="480"/>
      </w:pPr>
      <w:r>
        <w:rPr>
          <w:rFonts w:asciiTheme="minorEastAsia" w:hAnsiTheme="minorEastAsia" w:cstheme="minorEastAsia"/>
          <w:b/>
          <w:bCs/>
        </w:rPr>
        <w:t>2.3.2转染（6孔板）</w:t>
      </w:r>
    </w:p>
    <w:p>
      <w:pPr>
        <w:spacing w:line="360" w:lineRule="auto"/>
        <w:ind w:firstLine="482"/>
      </w:pPr>
      <w:r>
        <w:rPr>
          <w:rFonts w:hint="eastAsia"/>
          <w:b/>
        </w:rPr>
        <w:t>接种细胞2ml/孔，转染</w:t>
      </w:r>
      <w:r>
        <w:rPr>
          <w:b/>
        </w:rPr>
        <w:t>复合物</w:t>
      </w:r>
      <w:r>
        <w:rPr>
          <w:rFonts w:hint="eastAsia"/>
          <w:b/>
        </w:rPr>
        <w:t>的配置</w:t>
      </w:r>
      <w:r>
        <w:rPr>
          <w:b/>
        </w:rPr>
        <w:t>，以</w:t>
      </w:r>
      <w:r>
        <w:rPr>
          <w:rFonts w:hint="eastAsia"/>
          <w:b/>
        </w:rPr>
        <w:t>1</w:t>
      </w:r>
      <w:r>
        <w:rPr>
          <w:b/>
        </w:rPr>
        <w:t>孔为例</w:t>
      </w:r>
      <w:r>
        <w:t>：</w:t>
      </w:r>
    </w:p>
    <w:p>
      <w:pPr>
        <w:pStyle w:val="12"/>
        <w:numPr>
          <w:ilvl w:val="0"/>
          <w:numId w:val="7"/>
        </w:numPr>
        <w:spacing w:line="360" w:lineRule="auto"/>
        <w:ind w:firstLineChars="0"/>
      </w:pPr>
      <w:r>
        <w:rPr>
          <w:rFonts w:hint="eastAsia"/>
        </w:rPr>
        <w:t>离心管1中加入100</w:t>
      </w:r>
      <w:r>
        <w:t xml:space="preserve"> </w:t>
      </w:r>
      <w:r>
        <w:rPr>
          <w:rFonts w:ascii="Times New Roman" w:hAnsi="Times New Roman" w:cs="Times New Roman"/>
          <w:szCs w:val="24"/>
        </w:rPr>
        <w:t>μl</w:t>
      </w:r>
      <w:r>
        <w:rPr>
          <w:rFonts w:hint="eastAsia"/>
        </w:rPr>
        <w:t>的KPM培养液、</w:t>
      </w:r>
      <w:r>
        <w:t>4 μg</w:t>
      </w:r>
      <w:r>
        <w:rPr>
          <w:rFonts w:hint="eastAsia"/>
        </w:rPr>
        <w:t>DNA（GFP荧光质粒）；</w:t>
      </w:r>
    </w:p>
    <w:p>
      <w:pPr>
        <w:pStyle w:val="12"/>
        <w:numPr>
          <w:ilvl w:val="0"/>
          <w:numId w:val="7"/>
        </w:numPr>
        <w:spacing w:line="360" w:lineRule="auto"/>
        <w:ind w:firstLineChars="0"/>
      </w:pPr>
      <w:r>
        <w:rPr>
          <w:rFonts w:hint="eastAsia"/>
        </w:rPr>
        <w:t>离心管2中加入100</w:t>
      </w:r>
      <w:r>
        <w:t xml:space="preserve"> </w:t>
      </w:r>
      <w:r>
        <w:rPr>
          <w:rFonts w:ascii="Times New Roman" w:hAnsi="Times New Roman" w:cs="Times New Roman"/>
          <w:szCs w:val="24"/>
        </w:rPr>
        <w:t>μl</w:t>
      </w:r>
      <w:r>
        <w:rPr>
          <w:rFonts w:hint="eastAsia"/>
        </w:rPr>
        <w:t>的KPM培养液、2</w:t>
      </w:r>
      <w:r>
        <w:t xml:space="preserve">0 </w:t>
      </w:r>
      <w:r>
        <w:rPr>
          <w:rFonts w:ascii="Times New Roman" w:hAnsi="Times New Roman" w:cs="Times New Roman"/>
          <w:szCs w:val="24"/>
        </w:rPr>
        <w:t>μl</w:t>
      </w:r>
      <w:r>
        <w:rPr>
          <w:rFonts w:hint="eastAsia"/>
        </w:rPr>
        <w:t>的</w:t>
      </w:r>
      <w:r>
        <w:t>TA-293</w:t>
      </w:r>
      <w:r>
        <w:rPr>
          <w:rFonts w:hint="eastAsia"/>
        </w:rPr>
        <w:t>（DNA:转染试剂</w:t>
      </w:r>
      <w:r>
        <w:t>=1:5 m/v</w:t>
      </w:r>
      <w:r>
        <w:rPr>
          <w:rFonts w:hint="eastAsia"/>
        </w:rPr>
        <w:t>）；</w:t>
      </w:r>
    </w:p>
    <w:p>
      <w:pPr>
        <w:pStyle w:val="12"/>
        <w:numPr>
          <w:ilvl w:val="0"/>
          <w:numId w:val="7"/>
        </w:numPr>
        <w:spacing w:line="360" w:lineRule="auto"/>
        <w:ind w:firstLineChars="0"/>
      </w:pPr>
      <w:r>
        <w:rPr>
          <w:rFonts w:hint="eastAsia"/>
        </w:rPr>
        <w:t>将离心管2加入离心管1中，混匀，静置孵育</w:t>
      </w:r>
      <w:r>
        <w:t>10 min</w:t>
      </w:r>
      <w:r>
        <w:rPr>
          <w:rFonts w:hint="eastAsia"/>
        </w:rPr>
        <w:t>；</w:t>
      </w:r>
    </w:p>
    <w:p>
      <w:pPr>
        <w:pStyle w:val="12"/>
        <w:numPr>
          <w:ilvl w:val="0"/>
          <w:numId w:val="7"/>
        </w:numPr>
        <w:spacing w:line="360" w:lineRule="auto"/>
        <w:ind w:firstLineChars="0"/>
      </w:pPr>
      <w:r>
        <w:rPr>
          <w:rFonts w:hint="eastAsia"/>
        </w:rPr>
        <w:t>将上述复合物加入</w:t>
      </w:r>
      <w:bookmarkStart w:id="1" w:name="_Hlk507663064"/>
      <w:r>
        <w:rPr>
          <w:rFonts w:hint="eastAsia"/>
        </w:rPr>
        <w:t>6孔板中</w:t>
      </w:r>
      <w:bookmarkEnd w:id="1"/>
      <w:r>
        <w:rPr>
          <w:rFonts w:hint="eastAsia"/>
        </w:rPr>
        <w:t>，置于37℃，5%</w:t>
      </w:r>
      <w:r>
        <w:t xml:space="preserve"> CO</w:t>
      </w:r>
      <w:r>
        <w:rPr>
          <w:vertAlign w:val="subscript"/>
        </w:rPr>
        <w:t>2</w:t>
      </w:r>
      <w:r>
        <w:rPr>
          <w:rFonts w:hint="eastAsia"/>
        </w:rPr>
        <w:t>浓度的静置培养箱内的酶标板混匀器200</w:t>
      </w:r>
      <w:r>
        <w:t xml:space="preserve"> </w:t>
      </w:r>
      <w:r>
        <w:rPr>
          <w:rFonts w:hint="eastAsia"/>
        </w:rPr>
        <w:t>rpm培养。</w:t>
      </w:r>
    </w:p>
    <w:p>
      <w:pPr>
        <w:pStyle w:val="3"/>
        <w:ind w:left="240" w:leftChars="100"/>
      </w:pPr>
      <w:r>
        <w:t>2.3.</w:t>
      </w:r>
      <w:r>
        <w:rPr>
          <w:rFonts w:hint="eastAsia"/>
        </w:rPr>
        <w:t>3</w:t>
      </w:r>
      <w:r>
        <w:t>转染（100ml摇瓶）</w:t>
      </w:r>
    </w:p>
    <w:p>
      <w:pPr>
        <w:spacing w:line="360" w:lineRule="auto"/>
        <w:ind w:firstLine="482"/>
      </w:pPr>
      <w:r>
        <w:rPr>
          <w:rFonts w:hint="eastAsia"/>
          <w:b/>
        </w:rPr>
        <w:t>接种细胞20ml/瓶，转染</w:t>
      </w:r>
      <w:r>
        <w:rPr>
          <w:b/>
        </w:rPr>
        <w:t>复合物</w:t>
      </w:r>
      <w:r>
        <w:rPr>
          <w:rFonts w:hint="eastAsia"/>
          <w:b/>
        </w:rPr>
        <w:t>的配置</w:t>
      </w:r>
      <w:r>
        <w:rPr>
          <w:b/>
        </w:rPr>
        <w:t>，以</w:t>
      </w:r>
      <w:r>
        <w:rPr>
          <w:rFonts w:hint="eastAsia"/>
          <w:b/>
        </w:rPr>
        <w:t>1瓶</w:t>
      </w:r>
      <w:r>
        <w:rPr>
          <w:b/>
        </w:rPr>
        <w:t>为例</w:t>
      </w:r>
      <w:r>
        <w:t>：</w:t>
      </w:r>
    </w:p>
    <w:p>
      <w:pPr>
        <w:pStyle w:val="12"/>
        <w:numPr>
          <w:ilvl w:val="0"/>
          <w:numId w:val="8"/>
        </w:numPr>
        <w:spacing w:line="360" w:lineRule="auto"/>
        <w:ind w:firstLineChars="0"/>
      </w:pPr>
      <w:r>
        <w:rPr>
          <w:rFonts w:hint="eastAsia"/>
        </w:rPr>
        <w:t>离心管</w:t>
      </w:r>
      <w:r>
        <w:t>1</w:t>
      </w:r>
      <w:r>
        <w:rPr>
          <w:rFonts w:hint="eastAsia"/>
        </w:rPr>
        <w:t>中加入</w:t>
      </w:r>
      <w:r>
        <w:t>1ml</w:t>
      </w:r>
      <w:r>
        <w:rPr>
          <w:rFonts w:hint="eastAsia"/>
        </w:rPr>
        <w:t>的</w:t>
      </w:r>
      <w:r>
        <w:t>KPM</w:t>
      </w:r>
      <w:r>
        <w:rPr>
          <w:rFonts w:hint="eastAsia"/>
        </w:rPr>
        <w:t>培养液、4</w:t>
      </w:r>
      <w:r>
        <w:t>0 μgDNA</w:t>
      </w:r>
      <w:r>
        <w:rPr>
          <w:rFonts w:hint="eastAsia"/>
        </w:rPr>
        <w:t>（</w:t>
      </w:r>
      <w:r>
        <w:t>GFP</w:t>
      </w:r>
      <w:r>
        <w:rPr>
          <w:rFonts w:hint="eastAsia"/>
        </w:rPr>
        <w:t>荧光质粒）；</w:t>
      </w:r>
    </w:p>
    <w:p>
      <w:pPr>
        <w:pStyle w:val="12"/>
        <w:numPr>
          <w:ilvl w:val="0"/>
          <w:numId w:val="8"/>
        </w:numPr>
        <w:spacing w:line="360" w:lineRule="auto"/>
        <w:ind w:firstLineChars="0"/>
      </w:pPr>
      <w:r>
        <w:rPr>
          <w:rFonts w:hint="eastAsia"/>
        </w:rPr>
        <w:t>离心管</w:t>
      </w:r>
      <w:r>
        <w:t>2</w:t>
      </w:r>
      <w:r>
        <w:rPr>
          <w:rFonts w:hint="eastAsia"/>
        </w:rPr>
        <w:t>中加入</w:t>
      </w:r>
      <w:r>
        <w:t>1ml</w:t>
      </w:r>
      <w:r>
        <w:rPr>
          <w:rFonts w:hint="eastAsia"/>
        </w:rPr>
        <w:t>的</w:t>
      </w:r>
      <w:r>
        <w:t>KPM</w:t>
      </w:r>
      <w:r>
        <w:rPr>
          <w:rFonts w:hint="eastAsia"/>
        </w:rPr>
        <w:t>培养液、2</w:t>
      </w:r>
      <w:r>
        <w:t xml:space="preserve">00 </w:t>
      </w:r>
      <w:r>
        <w:rPr>
          <w:rFonts w:ascii="Times New Roman" w:hAnsi="Times New Roman" w:cs="Times New Roman"/>
          <w:szCs w:val="24"/>
        </w:rPr>
        <w:t>μl</w:t>
      </w:r>
      <w:r>
        <w:rPr>
          <w:rFonts w:hint="eastAsia"/>
        </w:rPr>
        <w:t>的</w:t>
      </w:r>
      <w:r>
        <w:t>TA-293</w:t>
      </w:r>
      <w:r>
        <w:rPr>
          <w:rFonts w:hint="eastAsia"/>
        </w:rPr>
        <w:t>（</w:t>
      </w:r>
      <w:r>
        <w:t>DNA:</w:t>
      </w:r>
      <w:r>
        <w:rPr>
          <w:rFonts w:hint="eastAsia"/>
        </w:rPr>
        <w:t>转染试剂</w:t>
      </w:r>
      <w:r>
        <w:t>=1:5 m/v</w:t>
      </w:r>
      <w:r>
        <w:rPr>
          <w:rFonts w:hint="eastAsia"/>
        </w:rPr>
        <w:t>）；</w:t>
      </w:r>
    </w:p>
    <w:p>
      <w:pPr>
        <w:pStyle w:val="12"/>
        <w:numPr>
          <w:ilvl w:val="0"/>
          <w:numId w:val="8"/>
        </w:numPr>
        <w:spacing w:line="360" w:lineRule="auto"/>
        <w:ind w:firstLineChars="0"/>
      </w:pPr>
      <w:r>
        <w:rPr>
          <w:rFonts w:hint="eastAsia"/>
        </w:rPr>
        <w:t>将离心管</w:t>
      </w:r>
      <w:r>
        <w:t>2</w:t>
      </w:r>
      <w:r>
        <w:rPr>
          <w:rFonts w:hint="eastAsia"/>
        </w:rPr>
        <w:t>加入离心管</w:t>
      </w:r>
      <w:r>
        <w:t>1</w:t>
      </w:r>
      <w:r>
        <w:rPr>
          <w:rFonts w:hint="eastAsia"/>
        </w:rPr>
        <w:t>中，混匀，静置</w:t>
      </w:r>
      <w:r>
        <w:t>10 min</w:t>
      </w:r>
      <w:r>
        <w:rPr>
          <w:rFonts w:hint="eastAsia"/>
        </w:rPr>
        <w:t>；</w:t>
      </w:r>
    </w:p>
    <w:p>
      <w:pPr>
        <w:pStyle w:val="12"/>
        <w:numPr>
          <w:ilvl w:val="0"/>
          <w:numId w:val="8"/>
        </w:numPr>
        <w:spacing w:line="360" w:lineRule="auto"/>
        <w:ind w:firstLineChars="0"/>
      </w:pPr>
      <w:r>
        <w:rPr>
          <w:rFonts w:hint="eastAsia"/>
        </w:rPr>
        <w:t>将上述复合物边晃动摇瓶边滴加入摇瓶中，置于</w:t>
      </w:r>
      <w:r>
        <w:t>120rpm</w:t>
      </w:r>
      <w:r>
        <w:rPr>
          <w:rFonts w:hint="eastAsia"/>
        </w:rPr>
        <w:t>、</w:t>
      </w:r>
      <w:r>
        <w:t>37</w:t>
      </w:r>
      <w:r>
        <w:rPr>
          <w:rFonts w:hint="eastAsia"/>
        </w:rPr>
        <w:t>℃，</w:t>
      </w:r>
      <w:r>
        <w:t>5% CO</w:t>
      </w:r>
      <w:r>
        <w:rPr>
          <w:vertAlign w:val="subscript"/>
        </w:rPr>
        <w:t xml:space="preserve">2 </w:t>
      </w:r>
      <w:r>
        <w:rPr>
          <w:rFonts w:hint="eastAsia"/>
        </w:rPr>
        <w:t>培养</w:t>
      </w:r>
      <w:r>
        <w:t>;</w:t>
      </w:r>
    </w:p>
    <w:p>
      <w:pPr>
        <w:pStyle w:val="12"/>
        <w:widowControl/>
        <w:adjustRightInd w:val="0"/>
        <w:snapToGrid w:val="0"/>
        <w:spacing w:line="360" w:lineRule="auto"/>
        <w:ind w:firstLine="0" w:firstLineChars="0"/>
        <w:jc w:val="both"/>
        <w:rPr>
          <w:rFonts w:ascii="Times New Roman" w:hAnsi="Times New Roman" w:cs="Times New Roman"/>
          <w:sz w:val="20"/>
          <w:szCs w:val="20"/>
        </w:rPr>
      </w:pPr>
    </w:p>
    <w:tbl>
      <w:tblPr>
        <w:tblStyle w:val="9"/>
        <w:tblW w:w="9962" w:type="dxa"/>
        <w:tblInd w:w="0" w:type="dxa"/>
        <w:tblBorders>
          <w:top w:val="dashed" w:color="7E7E7E" w:themeColor="text1" w:themeTint="80" w:sz="12" w:space="0"/>
          <w:left w:val="dashed" w:color="7E7E7E" w:themeColor="text1" w:themeTint="80" w:sz="12" w:space="0"/>
          <w:bottom w:val="dashed" w:color="7E7E7E" w:themeColor="text1" w:themeTint="80" w:sz="12" w:space="0"/>
          <w:right w:val="dashed" w:color="7E7E7E" w:themeColor="text1" w:themeTint="80" w:sz="12" w:space="0"/>
          <w:insideH w:val="dashed" w:color="7E7E7E" w:themeColor="text1" w:themeTint="80" w:sz="12" w:space="0"/>
          <w:insideV w:val="dashed" w:color="7E7E7E" w:themeColor="text1" w:themeTint="80" w:sz="12" w:space="0"/>
        </w:tblBorders>
        <w:tblLayout w:type="fixed"/>
        <w:tblCellMar>
          <w:top w:w="0" w:type="dxa"/>
          <w:left w:w="108" w:type="dxa"/>
          <w:bottom w:w="0" w:type="dxa"/>
          <w:right w:w="108" w:type="dxa"/>
        </w:tblCellMar>
      </w:tblPr>
      <w:tblGrid>
        <w:gridCol w:w="9962"/>
      </w:tblGrid>
      <w:tr>
        <w:tblPrEx>
          <w:tblBorders>
            <w:top w:val="dashed" w:color="7E7E7E" w:themeColor="text1" w:themeTint="80" w:sz="12" w:space="0"/>
            <w:left w:val="dashed" w:color="7E7E7E" w:themeColor="text1" w:themeTint="80" w:sz="12" w:space="0"/>
            <w:bottom w:val="dashed" w:color="7E7E7E" w:themeColor="text1" w:themeTint="80" w:sz="12" w:space="0"/>
            <w:right w:val="dashed" w:color="7E7E7E" w:themeColor="text1" w:themeTint="80" w:sz="12" w:space="0"/>
            <w:insideH w:val="dashed" w:color="7E7E7E" w:themeColor="text1" w:themeTint="80" w:sz="12" w:space="0"/>
            <w:insideV w:val="dashed" w:color="7E7E7E" w:themeColor="text1" w:themeTint="80" w:sz="12" w:space="0"/>
          </w:tblBorders>
          <w:tblCellMar>
            <w:top w:w="0" w:type="dxa"/>
            <w:left w:w="108" w:type="dxa"/>
            <w:bottom w:w="0" w:type="dxa"/>
            <w:right w:w="108" w:type="dxa"/>
          </w:tblCellMar>
        </w:tblPrEx>
        <w:tc>
          <w:tcPr>
            <w:tcW w:w="9962" w:type="dxa"/>
          </w:tcPr>
          <w:p>
            <w:pPr>
              <w:widowControl/>
              <w:adjustRightInd w:val="0"/>
              <w:snapToGrid w:val="0"/>
              <w:spacing w:line="360" w:lineRule="auto"/>
              <w:ind w:firstLine="361"/>
              <w:rPr>
                <w:rFonts w:ascii="Times New Roman" w:hAnsi="Times New Roman" w:cs="Times New Roman"/>
                <w:b/>
                <w:sz w:val="18"/>
                <w:szCs w:val="18"/>
              </w:rPr>
            </w:pPr>
            <w:r>
              <w:rPr>
                <w:rFonts w:ascii="Times New Roman" w:cs="Times New Roman" w:hAnsiTheme="minorEastAsia"/>
                <w:b/>
                <w:sz w:val="18"/>
                <w:szCs w:val="18"/>
              </w:rPr>
              <w:t>操作要点及注意事项：</w:t>
            </w:r>
          </w:p>
          <w:p>
            <w:pPr>
              <w:pStyle w:val="12"/>
              <w:widowControl/>
              <w:numPr>
                <w:ilvl w:val="0"/>
                <w:numId w:val="9"/>
              </w:numPr>
              <w:adjustRightInd w:val="0"/>
              <w:snapToGrid w:val="0"/>
              <w:spacing w:line="360" w:lineRule="auto"/>
              <w:ind w:firstLineChars="0"/>
              <w:rPr>
                <w:rFonts w:ascii="Times New Roman" w:hAnsi="Times New Roman" w:cs="Times New Roman"/>
                <w:sz w:val="18"/>
                <w:szCs w:val="18"/>
              </w:rPr>
            </w:pPr>
            <w:r>
              <w:rPr>
                <w:rFonts w:ascii="Times New Roman" w:hAnsi="Times New Roman" w:cs="Times New Roman"/>
                <w:sz w:val="18"/>
                <w:szCs w:val="18"/>
              </w:rPr>
              <w:t>KPM</w:t>
            </w:r>
            <w:r>
              <w:rPr>
                <w:rFonts w:ascii="Times New Roman" w:cs="Times New Roman" w:hAnsiTheme="minorEastAsia"/>
                <w:sz w:val="18"/>
                <w:szCs w:val="18"/>
              </w:rPr>
              <w:t>的使用总量为细胞悬液的</w:t>
            </w:r>
            <w:r>
              <w:rPr>
                <w:rFonts w:ascii="Times New Roman" w:hAnsi="Times New Roman" w:cs="Times New Roman"/>
                <w:sz w:val="18"/>
                <w:szCs w:val="18"/>
              </w:rPr>
              <w:t>1/10</w:t>
            </w:r>
            <w:r>
              <w:rPr>
                <w:rFonts w:ascii="Times New Roman" w:cs="Times New Roman" w:hAnsiTheme="minorEastAsia"/>
                <w:sz w:val="18"/>
                <w:szCs w:val="18"/>
              </w:rPr>
              <w:t>；</w:t>
            </w:r>
            <w:r>
              <w:rPr>
                <w:rFonts w:hint="eastAsia" w:ascii="Times New Roman" w:cs="Times New Roman" w:hAnsiTheme="minorEastAsia"/>
                <w:sz w:val="18"/>
                <w:szCs w:val="18"/>
              </w:rPr>
              <w:t>4.0系统</w:t>
            </w:r>
            <w:r>
              <w:rPr>
                <w:rFonts w:ascii="Times New Roman" w:cs="Times New Roman" w:hAnsiTheme="minorEastAsia"/>
                <w:sz w:val="18"/>
                <w:szCs w:val="18"/>
              </w:rPr>
              <w:t>质粒使用量为</w:t>
            </w:r>
            <w:r>
              <w:rPr>
                <w:rFonts w:hint="eastAsia" w:ascii="Times New Roman" w:cs="Times New Roman" w:hAnsiTheme="minorEastAsia"/>
                <w:sz w:val="18"/>
                <w:szCs w:val="18"/>
              </w:rPr>
              <w:t>2</w:t>
            </w:r>
            <w:r>
              <w:rPr>
                <w:rFonts w:ascii="Times New Roman" w:hAnsi="Times New Roman" w:cs="Times New Roman"/>
                <w:sz w:val="18"/>
                <w:szCs w:val="18"/>
              </w:rPr>
              <w:t>μg/ml</w:t>
            </w:r>
            <w:r>
              <w:rPr>
                <w:rFonts w:hint="eastAsia" w:ascii="Times New Roman" w:hAnsi="Times New Roman" w:cs="Times New Roman"/>
                <w:sz w:val="18"/>
                <w:szCs w:val="18"/>
              </w:rPr>
              <w:t>（DNA</w:t>
            </w:r>
            <w:r>
              <w:rPr>
                <w:rFonts w:ascii="Times New Roman" w:hAnsi="Times New Roman" w:cs="Times New Roman"/>
                <w:sz w:val="18"/>
                <w:szCs w:val="18"/>
              </w:rPr>
              <w:t>/</w:t>
            </w:r>
            <w:r>
              <w:rPr>
                <w:rFonts w:hint="eastAsia" w:ascii="Times New Roman" w:hAnsi="Times New Roman" w:cs="Times New Roman"/>
                <w:sz w:val="18"/>
                <w:szCs w:val="18"/>
              </w:rPr>
              <w:t>细胞培养液体积）</w:t>
            </w:r>
            <w:r>
              <w:rPr>
                <w:rFonts w:ascii="Times New Roman" w:cs="Times New Roman" w:hAnsiTheme="minorEastAsia"/>
                <w:sz w:val="18"/>
                <w:szCs w:val="18"/>
              </w:rPr>
              <w:t>；</w:t>
            </w:r>
          </w:p>
          <w:p>
            <w:pPr>
              <w:pStyle w:val="12"/>
              <w:widowControl/>
              <w:numPr>
                <w:ilvl w:val="0"/>
                <w:numId w:val="9"/>
              </w:numPr>
              <w:adjustRightInd w:val="0"/>
              <w:snapToGrid w:val="0"/>
              <w:spacing w:line="360" w:lineRule="auto"/>
              <w:ind w:firstLineChars="0"/>
              <w:rPr>
                <w:rFonts w:ascii="Times New Roman" w:hAnsi="Times New Roman" w:cs="Times New Roman"/>
                <w:sz w:val="18"/>
                <w:szCs w:val="18"/>
              </w:rPr>
            </w:pPr>
            <w:r>
              <w:rPr>
                <w:rFonts w:ascii="Times New Roman" w:cs="Times New Roman" w:hAnsiTheme="minorEastAsia"/>
                <w:sz w:val="18"/>
                <w:szCs w:val="18"/>
              </w:rPr>
              <w:t>质粒：转染试剂的</w:t>
            </w:r>
            <w:r>
              <w:rPr>
                <w:rFonts w:hint="eastAsia" w:ascii="Times New Roman" w:cs="Times New Roman" w:hAnsiTheme="minorEastAsia"/>
                <w:sz w:val="18"/>
                <w:szCs w:val="18"/>
              </w:rPr>
              <w:t>质量</w:t>
            </w:r>
            <w:r>
              <w:rPr>
                <w:rFonts w:ascii="Times New Roman" w:cs="Times New Roman" w:hAnsiTheme="minorEastAsia"/>
                <w:sz w:val="18"/>
                <w:szCs w:val="18"/>
              </w:rPr>
              <w:t>比例可为</w:t>
            </w:r>
            <w:r>
              <w:rPr>
                <w:rFonts w:ascii="Times New Roman" w:hAnsi="Times New Roman" w:cs="Times New Roman"/>
                <w:sz w:val="18"/>
                <w:szCs w:val="18"/>
              </w:rPr>
              <w:t>1</w:t>
            </w:r>
            <w:r>
              <w:rPr>
                <w:rFonts w:ascii="Times New Roman" w:cs="Times New Roman" w:hAnsiTheme="minorEastAsia"/>
                <w:sz w:val="18"/>
                <w:szCs w:val="18"/>
              </w:rPr>
              <w:t>：</w:t>
            </w:r>
            <w:r>
              <w:rPr>
                <w:rFonts w:ascii="Times New Roman" w:hAnsi="Times New Roman" w:cs="Times New Roman"/>
                <w:sz w:val="18"/>
                <w:szCs w:val="18"/>
              </w:rPr>
              <w:t>3</w:t>
            </w:r>
            <w:r>
              <w:rPr>
                <w:rFonts w:ascii="Times New Roman" w:cs="Times New Roman" w:hAnsiTheme="minorEastAsia"/>
                <w:sz w:val="18"/>
                <w:szCs w:val="18"/>
              </w:rPr>
              <w:t>、</w:t>
            </w:r>
            <w:r>
              <w:rPr>
                <w:rFonts w:ascii="Times New Roman" w:hAnsi="Times New Roman" w:cs="Times New Roman"/>
                <w:sz w:val="18"/>
                <w:szCs w:val="18"/>
              </w:rPr>
              <w:t>1</w:t>
            </w:r>
            <w:r>
              <w:rPr>
                <w:rFonts w:ascii="Times New Roman" w:cs="Times New Roman" w:hAnsiTheme="minorEastAsia"/>
                <w:sz w:val="18"/>
                <w:szCs w:val="18"/>
              </w:rPr>
              <w:t>：</w:t>
            </w:r>
            <w:r>
              <w:rPr>
                <w:rFonts w:ascii="Times New Roman" w:hAnsi="Times New Roman" w:cs="Times New Roman"/>
                <w:sz w:val="18"/>
                <w:szCs w:val="18"/>
              </w:rPr>
              <w:t>4</w:t>
            </w:r>
            <w:r>
              <w:rPr>
                <w:rFonts w:ascii="Times New Roman" w:cs="Times New Roman" w:hAnsiTheme="minorEastAsia"/>
                <w:sz w:val="18"/>
                <w:szCs w:val="18"/>
              </w:rPr>
              <w:t>、</w:t>
            </w:r>
            <w:r>
              <w:rPr>
                <w:rFonts w:ascii="Times New Roman" w:hAnsi="Times New Roman" w:cs="Times New Roman"/>
                <w:sz w:val="18"/>
                <w:szCs w:val="18"/>
              </w:rPr>
              <w:t>1</w:t>
            </w:r>
            <w:r>
              <w:rPr>
                <w:rFonts w:ascii="Times New Roman" w:cs="Times New Roman" w:hAnsiTheme="minorEastAsia"/>
                <w:sz w:val="18"/>
                <w:szCs w:val="18"/>
              </w:rPr>
              <w:t>：</w:t>
            </w:r>
            <w:r>
              <w:rPr>
                <w:rFonts w:ascii="Times New Roman" w:hAnsi="Times New Roman" w:cs="Times New Roman"/>
                <w:sz w:val="18"/>
                <w:szCs w:val="18"/>
              </w:rPr>
              <w:t>5</w:t>
            </w:r>
            <w:r>
              <w:rPr>
                <w:rFonts w:ascii="Times New Roman" w:cs="Times New Roman" w:hAnsiTheme="minorEastAsia"/>
                <w:sz w:val="18"/>
                <w:szCs w:val="18"/>
              </w:rPr>
              <w:t>、</w:t>
            </w:r>
            <w:r>
              <w:rPr>
                <w:rFonts w:ascii="Times New Roman" w:hAnsi="Times New Roman" w:cs="Times New Roman"/>
                <w:sz w:val="18"/>
                <w:szCs w:val="18"/>
              </w:rPr>
              <w:t>1</w:t>
            </w:r>
            <w:r>
              <w:rPr>
                <w:rFonts w:ascii="Times New Roman" w:cs="Times New Roman" w:hAnsiTheme="minorEastAsia"/>
                <w:sz w:val="18"/>
                <w:szCs w:val="18"/>
              </w:rPr>
              <w:t>：</w:t>
            </w:r>
            <w:r>
              <w:rPr>
                <w:rFonts w:ascii="Times New Roman" w:hAnsi="Times New Roman" w:cs="Times New Roman"/>
                <w:sz w:val="18"/>
                <w:szCs w:val="18"/>
              </w:rPr>
              <w:t>6</w:t>
            </w:r>
            <w:r>
              <w:rPr>
                <w:rFonts w:ascii="Times New Roman" w:cs="Times New Roman" w:hAnsiTheme="minorEastAsia"/>
                <w:sz w:val="18"/>
                <w:szCs w:val="18"/>
              </w:rPr>
              <w:t>，多数质粒比例使用</w:t>
            </w:r>
            <w:r>
              <w:rPr>
                <w:rFonts w:ascii="Times New Roman" w:hAnsi="Times New Roman" w:cs="Times New Roman"/>
                <w:sz w:val="18"/>
                <w:szCs w:val="18"/>
              </w:rPr>
              <w:t>1</w:t>
            </w:r>
            <w:r>
              <w:rPr>
                <w:rFonts w:ascii="Times New Roman" w:cs="Times New Roman" w:hAnsiTheme="minorEastAsia"/>
                <w:sz w:val="18"/>
                <w:szCs w:val="18"/>
              </w:rPr>
              <w:t>：</w:t>
            </w:r>
            <w:r>
              <w:rPr>
                <w:rFonts w:ascii="Times New Roman" w:hAnsi="Times New Roman" w:cs="Times New Roman"/>
                <w:sz w:val="18"/>
                <w:szCs w:val="18"/>
              </w:rPr>
              <w:t>5</w:t>
            </w:r>
            <w:r>
              <w:rPr>
                <w:rFonts w:ascii="Times New Roman" w:cs="Times New Roman" w:hAnsiTheme="minorEastAsia"/>
                <w:sz w:val="18"/>
                <w:szCs w:val="18"/>
              </w:rPr>
              <w:t>效果最好，客户可根据自己的实际</w:t>
            </w:r>
            <w:r>
              <w:rPr>
                <w:rFonts w:hint="eastAsia" w:ascii="Times New Roman" w:cs="Times New Roman" w:hAnsiTheme="minorEastAsia"/>
                <w:sz w:val="18"/>
                <w:szCs w:val="18"/>
              </w:rPr>
              <w:t>经验</w:t>
            </w:r>
            <w:r>
              <w:rPr>
                <w:rFonts w:ascii="Times New Roman" w:cs="Times New Roman" w:hAnsiTheme="minorEastAsia"/>
                <w:sz w:val="18"/>
                <w:szCs w:val="18"/>
              </w:rPr>
              <w:t>进行条件摸索，但不建议使用低于</w:t>
            </w:r>
            <w:r>
              <w:rPr>
                <w:rFonts w:ascii="Times New Roman" w:hAnsi="Times New Roman" w:cs="Times New Roman"/>
                <w:sz w:val="18"/>
                <w:szCs w:val="18"/>
              </w:rPr>
              <w:t>1</w:t>
            </w:r>
            <w:r>
              <w:rPr>
                <w:rFonts w:ascii="Times New Roman" w:cs="Times New Roman" w:hAnsiTheme="minorEastAsia"/>
                <w:sz w:val="18"/>
                <w:szCs w:val="18"/>
              </w:rPr>
              <w:t>：</w:t>
            </w:r>
            <w:r>
              <w:rPr>
                <w:rFonts w:ascii="Times New Roman" w:hAnsi="Times New Roman" w:cs="Times New Roman"/>
                <w:sz w:val="18"/>
                <w:szCs w:val="18"/>
              </w:rPr>
              <w:t>3</w:t>
            </w:r>
            <w:r>
              <w:rPr>
                <w:rFonts w:ascii="Times New Roman" w:cs="Times New Roman" w:hAnsiTheme="minorEastAsia"/>
                <w:sz w:val="18"/>
                <w:szCs w:val="18"/>
              </w:rPr>
              <w:t>或高于</w:t>
            </w:r>
            <w:r>
              <w:rPr>
                <w:rFonts w:ascii="Times New Roman" w:hAnsi="Times New Roman" w:cs="Times New Roman"/>
                <w:sz w:val="18"/>
                <w:szCs w:val="18"/>
              </w:rPr>
              <w:t>1</w:t>
            </w:r>
            <w:r>
              <w:rPr>
                <w:rFonts w:ascii="Times New Roman" w:cs="Times New Roman" w:hAnsiTheme="minorEastAsia"/>
                <w:sz w:val="18"/>
                <w:szCs w:val="18"/>
              </w:rPr>
              <w:t>：</w:t>
            </w:r>
            <w:r>
              <w:rPr>
                <w:rFonts w:ascii="Times New Roman" w:hAnsi="Times New Roman" w:cs="Times New Roman"/>
                <w:sz w:val="18"/>
                <w:szCs w:val="18"/>
              </w:rPr>
              <w:t>8</w:t>
            </w:r>
            <w:r>
              <w:rPr>
                <w:rFonts w:ascii="Times New Roman" w:cs="Times New Roman" w:hAnsiTheme="minorEastAsia"/>
                <w:sz w:val="18"/>
                <w:szCs w:val="18"/>
              </w:rPr>
              <w:t>的比例</w:t>
            </w:r>
            <w:r>
              <w:rPr>
                <w:rFonts w:hint="eastAsia" w:ascii="Times New Roman" w:cs="Times New Roman" w:hAnsiTheme="minorEastAsia"/>
                <w:sz w:val="18"/>
                <w:szCs w:val="18"/>
              </w:rPr>
              <w:t>；</w:t>
            </w:r>
          </w:p>
          <w:p>
            <w:pPr>
              <w:pStyle w:val="12"/>
              <w:widowControl/>
              <w:numPr>
                <w:ilvl w:val="0"/>
                <w:numId w:val="9"/>
              </w:numPr>
              <w:adjustRightInd w:val="0"/>
              <w:snapToGrid w:val="0"/>
              <w:spacing w:line="360" w:lineRule="auto"/>
              <w:ind w:firstLineChars="0"/>
              <w:rPr>
                <w:rFonts w:ascii="Times New Roman" w:hAnsi="Times New Roman" w:cs="Times New Roman"/>
                <w:sz w:val="18"/>
                <w:szCs w:val="18"/>
              </w:rPr>
            </w:pPr>
            <w:r>
              <w:rPr>
                <w:rFonts w:ascii="Times New Roman" w:hAnsi="Times New Roman" w:cs="Times New Roman"/>
                <w:sz w:val="18"/>
                <w:szCs w:val="18"/>
              </w:rPr>
              <w:t>TA-293</w:t>
            </w:r>
            <w:r>
              <w:rPr>
                <w:rFonts w:hint="eastAsia" w:ascii="Times New Roman" w:cs="Times New Roman" w:hAnsiTheme="minorEastAsia"/>
                <w:sz w:val="18"/>
                <w:szCs w:val="18"/>
              </w:rPr>
              <w:t>（浓度为1</w:t>
            </w:r>
            <w:r>
              <w:rPr>
                <w:rFonts w:ascii="Times New Roman" w:hAnsi="Times New Roman" w:cs="Times New Roman"/>
                <w:sz w:val="18"/>
                <w:szCs w:val="18"/>
              </w:rPr>
              <w:t>μg/μ</w:t>
            </w:r>
            <w:r>
              <w:rPr>
                <w:rFonts w:hint="eastAsia" w:ascii="Times New Roman" w:hAnsi="Times New Roman" w:cs="Times New Roman"/>
                <w:sz w:val="18"/>
                <w:szCs w:val="18"/>
              </w:rPr>
              <w:t>l</w:t>
            </w:r>
            <w:r>
              <w:rPr>
                <w:rFonts w:hint="eastAsia" w:ascii="Times New Roman" w:cs="Times New Roman" w:hAnsiTheme="minorEastAsia"/>
                <w:sz w:val="18"/>
                <w:szCs w:val="18"/>
              </w:rPr>
              <w:t>）</w:t>
            </w:r>
            <w:r>
              <w:rPr>
                <w:rFonts w:ascii="Times New Roman" w:cs="Times New Roman" w:hAnsiTheme="minorEastAsia"/>
                <w:sz w:val="18"/>
                <w:szCs w:val="18"/>
              </w:rPr>
              <w:t>为白色悬浊液，使用前需摇匀或吹打均匀；</w:t>
            </w:r>
          </w:p>
          <w:p>
            <w:pPr>
              <w:pStyle w:val="12"/>
              <w:widowControl/>
              <w:numPr>
                <w:ilvl w:val="0"/>
                <w:numId w:val="9"/>
              </w:numPr>
              <w:adjustRightInd w:val="0"/>
              <w:snapToGrid w:val="0"/>
              <w:spacing w:line="360" w:lineRule="auto"/>
              <w:ind w:firstLineChars="0"/>
              <w:rPr>
                <w:rFonts w:ascii="Times New Roman" w:hAnsi="Times New Roman" w:cs="Times New Roman"/>
                <w:sz w:val="18"/>
                <w:szCs w:val="18"/>
              </w:rPr>
            </w:pPr>
            <w:r>
              <w:rPr>
                <w:rFonts w:hint="eastAsia" w:ascii="Times New Roman" w:hAnsi="Times New Roman" w:cs="Times New Roman"/>
                <w:sz w:val="18"/>
                <w:szCs w:val="18"/>
              </w:rPr>
              <w:t>质粒-转染试剂孵育时请勿摇晃，剧烈震荡可能会导致孵育失败；</w:t>
            </w:r>
          </w:p>
          <w:p>
            <w:pPr>
              <w:pStyle w:val="12"/>
              <w:widowControl/>
              <w:numPr>
                <w:ilvl w:val="0"/>
                <w:numId w:val="9"/>
              </w:numPr>
              <w:adjustRightInd w:val="0"/>
              <w:snapToGrid w:val="0"/>
              <w:spacing w:line="360" w:lineRule="auto"/>
              <w:ind w:firstLineChars="0"/>
              <w:rPr>
                <w:rFonts w:ascii="Times New Roman" w:hAnsi="Times New Roman" w:cs="Times New Roman"/>
                <w:sz w:val="18"/>
                <w:szCs w:val="18"/>
              </w:rPr>
            </w:pPr>
            <w:r>
              <w:rPr>
                <w:rFonts w:ascii="Times New Roman" w:cs="Times New Roman" w:hAnsiTheme="minorEastAsia"/>
                <w:sz w:val="18"/>
                <w:szCs w:val="18"/>
              </w:rPr>
              <w:t>质粒</w:t>
            </w:r>
            <w:r>
              <w:rPr>
                <w:rFonts w:ascii="Times New Roman" w:hAnsi="Times New Roman" w:cs="Times New Roman"/>
                <w:sz w:val="18"/>
                <w:szCs w:val="18"/>
              </w:rPr>
              <w:t>-</w:t>
            </w:r>
            <w:r>
              <w:rPr>
                <w:rFonts w:ascii="Times New Roman" w:cs="Times New Roman" w:hAnsiTheme="minorEastAsia"/>
                <w:sz w:val="18"/>
                <w:szCs w:val="18"/>
              </w:rPr>
              <w:t>载体复合物制备好后再从摇床中取出细胞，边摇边滴加复合物</w:t>
            </w:r>
            <w:r>
              <w:rPr>
                <w:rFonts w:hint="eastAsia" w:ascii="Times New Roman" w:cs="Times New Roman" w:hAnsiTheme="minorEastAsia"/>
                <w:sz w:val="18"/>
                <w:szCs w:val="18"/>
              </w:rPr>
              <w:t>，不要过早将细胞从摇床中取出</w:t>
            </w:r>
            <w:r>
              <w:rPr>
                <w:rFonts w:ascii="Times New Roman" w:cs="Times New Roman" w:hAnsiTheme="minorEastAsia"/>
                <w:sz w:val="18"/>
                <w:szCs w:val="18"/>
              </w:rPr>
              <w:t>。</w:t>
            </w:r>
          </w:p>
        </w:tc>
      </w:tr>
    </w:tbl>
    <w:p>
      <w:pPr>
        <w:pStyle w:val="3"/>
      </w:pPr>
    </w:p>
    <w:p>
      <w:pPr>
        <w:ind w:firstLine="480"/>
      </w:pPr>
    </w:p>
    <w:p>
      <w:pPr>
        <w:pStyle w:val="3"/>
      </w:pPr>
      <w:r>
        <w:t>2.</w:t>
      </w:r>
      <w:r>
        <w:rPr>
          <w:rFonts w:hint="eastAsia"/>
        </w:rPr>
        <w:t>4转染结果检测</w:t>
      </w:r>
    </w:p>
    <w:p>
      <w:pPr>
        <w:pStyle w:val="12"/>
        <w:widowControl/>
        <w:numPr>
          <w:ilvl w:val="0"/>
          <w:numId w:val="10"/>
        </w:numPr>
        <w:adjustRightInd w:val="0"/>
        <w:snapToGrid w:val="0"/>
        <w:spacing w:line="360" w:lineRule="auto"/>
        <w:ind w:left="0" w:firstLine="0" w:firstLineChars="0"/>
        <w:rPr>
          <w:rFonts w:ascii="Times New Roman" w:hAnsi="Times New Roman" w:cs="Times New Roman"/>
          <w:szCs w:val="24"/>
        </w:rPr>
      </w:pPr>
      <w:r>
        <w:rPr>
          <w:rFonts w:ascii="Times New Roman" w:cs="Times New Roman" w:hAnsiTheme="minorEastAsia"/>
          <w:szCs w:val="24"/>
        </w:rPr>
        <w:t>转染</w:t>
      </w:r>
      <w:r>
        <w:rPr>
          <w:rFonts w:ascii="Times New Roman" w:hAnsi="Times New Roman" w:cs="Times New Roman"/>
          <w:szCs w:val="24"/>
        </w:rPr>
        <w:t>24</w:t>
      </w:r>
      <w:r>
        <w:rPr>
          <w:rFonts w:ascii="Times New Roman" w:cs="Times New Roman" w:hAnsiTheme="minorEastAsia"/>
          <w:szCs w:val="24"/>
        </w:rPr>
        <w:t>小时后可加入</w:t>
      </w:r>
      <w:r>
        <w:rPr>
          <w:rFonts w:hint="eastAsia" w:ascii="Times New Roman" w:cs="Times New Roman" w:hAnsiTheme="minorEastAsia"/>
          <w:szCs w:val="24"/>
        </w:rPr>
        <w:t>0.6%的（</w:t>
      </w:r>
      <w:r>
        <w:rPr>
          <w:rFonts w:hint="eastAsia" w:ascii="Times New Roman" w:hAnsi="Times New Roman" w:cs="Times New Roman"/>
          <w:szCs w:val="24"/>
        </w:rPr>
        <w:t>12</w:t>
      </w:r>
      <w:r>
        <w:rPr>
          <w:rFonts w:ascii="Times New Roman" w:hAnsi="Times New Roman" w:cs="Times New Roman"/>
          <w:szCs w:val="24"/>
        </w:rPr>
        <w:t xml:space="preserve">0 μl </w:t>
      </w:r>
      <w:r>
        <w:rPr>
          <w:rFonts w:hint="eastAsia" w:ascii="Times New Roman" w:hAnsi="Times New Roman" w:cs="Times New Roman"/>
          <w:szCs w:val="24"/>
        </w:rPr>
        <w:t>/20ml）</w:t>
      </w:r>
      <w:r>
        <w:rPr>
          <w:rFonts w:ascii="Times New Roman" w:hAnsi="Times New Roman" w:cs="Times New Roman"/>
          <w:szCs w:val="24"/>
        </w:rPr>
        <w:t>293</w:t>
      </w:r>
      <w:r>
        <w:rPr>
          <w:rFonts w:ascii="Times New Roman" w:cs="Times New Roman" w:hAnsiTheme="minorEastAsia"/>
          <w:szCs w:val="24"/>
        </w:rPr>
        <w:t>细胞蛋白表达增强剂（</w:t>
      </w:r>
      <w:r>
        <w:rPr>
          <w:rFonts w:ascii="Times New Roman" w:hAnsi="Times New Roman" w:cs="Times New Roman"/>
          <w:szCs w:val="24"/>
        </w:rPr>
        <w:t>KE-293</w:t>
      </w:r>
      <w:r>
        <w:rPr>
          <w:rFonts w:ascii="Times New Roman" w:cs="Times New Roman" w:hAnsiTheme="minorEastAsia"/>
          <w:szCs w:val="24"/>
        </w:rPr>
        <w:t>），以增加产物表达量</w:t>
      </w:r>
      <w:r>
        <w:rPr>
          <w:rFonts w:hint="eastAsia" w:ascii="Times New Roman" w:cs="Times New Roman" w:hAnsiTheme="minorEastAsia"/>
          <w:szCs w:val="24"/>
        </w:rPr>
        <w:t>；</w:t>
      </w:r>
    </w:p>
    <w:p>
      <w:pPr>
        <w:pStyle w:val="12"/>
        <w:widowControl/>
        <w:numPr>
          <w:ilvl w:val="0"/>
          <w:numId w:val="10"/>
        </w:numPr>
        <w:adjustRightInd w:val="0"/>
        <w:snapToGrid w:val="0"/>
        <w:spacing w:line="360" w:lineRule="auto"/>
        <w:ind w:left="0" w:firstLine="0" w:firstLineChars="0"/>
        <w:rPr>
          <w:rFonts w:ascii="Times New Roman" w:cs="Times New Roman" w:hAnsiTheme="minorEastAsia"/>
          <w:szCs w:val="24"/>
        </w:rPr>
      </w:pPr>
      <w:r>
        <w:rPr>
          <w:rFonts w:hint="eastAsia" w:ascii="Times New Roman" w:cs="Times New Roman" w:hAnsiTheme="minorEastAsia"/>
          <w:szCs w:val="24"/>
        </w:rPr>
        <w:t>转染</w:t>
      </w:r>
      <w:r>
        <w:rPr>
          <w:rFonts w:ascii="Times New Roman" w:cs="Times New Roman" w:hAnsiTheme="minorEastAsia"/>
          <w:szCs w:val="24"/>
        </w:rPr>
        <w:t>48</w:t>
      </w:r>
      <w:r>
        <w:rPr>
          <w:rFonts w:hint="eastAsia" w:ascii="Times New Roman" w:cs="Times New Roman" w:hAnsiTheme="minorEastAsia"/>
          <w:szCs w:val="24"/>
        </w:rPr>
        <w:t>小时后测定荧光转染率（以荧光显微镜为例）：将细胞摇匀后吸</w:t>
      </w:r>
      <w:r>
        <w:rPr>
          <w:rFonts w:ascii="Times New Roman" w:cs="Times New Roman" w:hAnsiTheme="minorEastAsia"/>
          <w:szCs w:val="24"/>
        </w:rPr>
        <w:t xml:space="preserve">120 </w:t>
      </w:r>
      <w:r>
        <w:rPr>
          <w:rFonts w:ascii="Times New Roman" w:hAnsi="Times New Roman" w:cs="Times New Roman"/>
          <w:szCs w:val="24"/>
        </w:rPr>
        <w:t>μl</w:t>
      </w:r>
      <w:r>
        <w:rPr>
          <w:rFonts w:hint="eastAsia" w:ascii="Times New Roman" w:cs="Times New Roman" w:hAnsiTheme="minorEastAsia"/>
          <w:szCs w:val="24"/>
        </w:rPr>
        <w:t>加入</w:t>
      </w:r>
      <w:r>
        <w:rPr>
          <w:rFonts w:ascii="Times New Roman" w:cs="Times New Roman" w:hAnsiTheme="minorEastAsia"/>
          <w:szCs w:val="24"/>
        </w:rPr>
        <w:t>24</w:t>
      </w:r>
      <w:r>
        <w:rPr>
          <w:rFonts w:hint="eastAsia" w:ascii="Times New Roman" w:cs="Times New Roman" w:hAnsiTheme="minorEastAsia"/>
          <w:szCs w:val="24"/>
        </w:rPr>
        <w:t>孔板中，让细胞液铺满孔板底部，先用显微镜观察细胞密度是否过高，若密度过高需加入</w:t>
      </w:r>
      <w:r>
        <w:rPr>
          <w:rFonts w:ascii="Times New Roman" w:cs="Times New Roman" w:hAnsiTheme="minorEastAsia"/>
          <w:szCs w:val="24"/>
        </w:rPr>
        <w:t>KOP293</w:t>
      </w:r>
      <w:r>
        <w:rPr>
          <w:rFonts w:hint="eastAsia" w:ascii="Times New Roman" w:cs="Times New Roman" w:hAnsiTheme="minorEastAsia"/>
          <w:szCs w:val="24"/>
        </w:rPr>
        <w:t>将细胞稀释</w:t>
      </w:r>
      <w:r>
        <w:rPr>
          <w:rFonts w:ascii="Times New Roman" w:cs="Times New Roman" w:hAnsiTheme="minorEastAsia"/>
          <w:szCs w:val="24"/>
        </w:rPr>
        <w:t>2~3</w:t>
      </w:r>
      <w:r>
        <w:rPr>
          <w:rFonts w:hint="eastAsia" w:ascii="Times New Roman" w:cs="Times New Roman" w:hAnsiTheme="minorEastAsia"/>
          <w:szCs w:val="24"/>
        </w:rPr>
        <w:t>倍，保证</w:t>
      </w:r>
      <w:r>
        <w:rPr>
          <w:rFonts w:ascii="Times New Roman" w:cs="Times New Roman" w:hAnsiTheme="minorEastAsia"/>
          <w:szCs w:val="24"/>
        </w:rPr>
        <w:t>40X</w:t>
      </w:r>
      <w:r>
        <w:rPr>
          <w:rFonts w:hint="eastAsia" w:ascii="Times New Roman" w:cs="Times New Roman" w:hAnsiTheme="minorEastAsia"/>
          <w:szCs w:val="24"/>
        </w:rPr>
        <w:t>物镜下的细胞没有重叠。将处理好的细胞在荧光显微镜下拍照，先用明场找到没有细胞结团和重叠的画面后，拍一张照片。然后保证画面没有运动的情况下，切换至荧光界面（若切换至荧光界面后没有荧光或荧光数特别少可以尝试调整荧光曝光率）后再拍一张照片，然后进行人工或软件计数。每个孔拍两张照片，取平均值。           转染率</w:t>
      </w:r>
      <w:r>
        <w:rPr>
          <w:rFonts w:ascii="Times New Roman" w:cs="Times New Roman" w:hAnsiTheme="minorEastAsia"/>
          <w:szCs w:val="24"/>
        </w:rPr>
        <w:t>=</w:t>
      </w:r>
      <w:r>
        <w:rPr>
          <w:rFonts w:hint="eastAsia" w:ascii="Times New Roman" w:cs="Times New Roman" w:hAnsiTheme="minorEastAsia"/>
          <w:szCs w:val="24"/>
        </w:rPr>
        <w:t>（荧光细胞数</w:t>
      </w:r>
      <w:r>
        <w:rPr>
          <w:rFonts w:ascii="Times New Roman" w:cs="Times New Roman" w:hAnsiTheme="minorEastAsia"/>
          <w:szCs w:val="24"/>
        </w:rPr>
        <w:t>/</w:t>
      </w:r>
      <w:r>
        <w:rPr>
          <w:rFonts w:hint="eastAsia" w:ascii="Times New Roman" w:cs="Times New Roman" w:hAnsiTheme="minorEastAsia"/>
          <w:szCs w:val="24"/>
        </w:rPr>
        <w:t>明场细胞数）╳</w:t>
      </w:r>
      <w:r>
        <w:rPr>
          <w:rFonts w:ascii="Times New Roman" w:cs="Times New Roman" w:hAnsiTheme="minorEastAsia"/>
          <w:szCs w:val="24"/>
        </w:rPr>
        <w:t>100%</w:t>
      </w:r>
    </w:p>
    <w:tbl>
      <w:tblPr>
        <w:tblStyle w:val="9"/>
        <w:tblW w:w="9962" w:type="dxa"/>
        <w:tblInd w:w="0" w:type="dxa"/>
        <w:tblBorders>
          <w:top w:val="dashed" w:color="7E7E7E" w:themeColor="text1" w:themeTint="80" w:sz="12" w:space="0"/>
          <w:left w:val="dashed" w:color="7E7E7E" w:themeColor="text1" w:themeTint="80" w:sz="12" w:space="0"/>
          <w:bottom w:val="dashed" w:color="7E7E7E" w:themeColor="text1" w:themeTint="80" w:sz="12" w:space="0"/>
          <w:right w:val="dashed" w:color="7E7E7E" w:themeColor="text1" w:themeTint="80" w:sz="12" w:space="0"/>
          <w:insideH w:val="dashed" w:color="7E7E7E" w:themeColor="text1" w:themeTint="80" w:sz="12" w:space="0"/>
          <w:insideV w:val="dashed" w:color="7E7E7E" w:themeColor="text1" w:themeTint="80" w:sz="12" w:space="0"/>
        </w:tblBorders>
        <w:tblLayout w:type="fixed"/>
        <w:tblCellMar>
          <w:top w:w="0" w:type="dxa"/>
          <w:left w:w="108" w:type="dxa"/>
          <w:bottom w:w="0" w:type="dxa"/>
          <w:right w:w="108" w:type="dxa"/>
        </w:tblCellMar>
      </w:tblPr>
      <w:tblGrid>
        <w:gridCol w:w="9962"/>
      </w:tblGrid>
      <w:tr>
        <w:tblPrEx>
          <w:tblBorders>
            <w:top w:val="dashed" w:color="7E7E7E" w:themeColor="text1" w:themeTint="80" w:sz="12" w:space="0"/>
            <w:left w:val="dashed" w:color="7E7E7E" w:themeColor="text1" w:themeTint="80" w:sz="12" w:space="0"/>
            <w:bottom w:val="dashed" w:color="7E7E7E" w:themeColor="text1" w:themeTint="80" w:sz="12" w:space="0"/>
            <w:right w:val="dashed" w:color="7E7E7E" w:themeColor="text1" w:themeTint="80" w:sz="12" w:space="0"/>
            <w:insideH w:val="dashed" w:color="7E7E7E" w:themeColor="text1" w:themeTint="80" w:sz="12" w:space="0"/>
            <w:insideV w:val="dashed" w:color="7E7E7E" w:themeColor="text1" w:themeTint="80" w:sz="12" w:space="0"/>
          </w:tblBorders>
          <w:tblCellMar>
            <w:top w:w="0" w:type="dxa"/>
            <w:left w:w="108" w:type="dxa"/>
            <w:bottom w:w="0" w:type="dxa"/>
            <w:right w:w="108" w:type="dxa"/>
          </w:tblCellMar>
        </w:tblPrEx>
        <w:tc>
          <w:tcPr>
            <w:tcW w:w="9962" w:type="dxa"/>
          </w:tcPr>
          <w:p>
            <w:pPr>
              <w:widowControl/>
              <w:adjustRightInd w:val="0"/>
              <w:snapToGrid w:val="0"/>
              <w:spacing w:line="360" w:lineRule="auto"/>
              <w:ind w:firstLine="361"/>
              <w:rPr>
                <w:rFonts w:ascii="Times New Roman" w:hAnsi="Times New Roman" w:cs="Times New Roman"/>
                <w:b/>
                <w:sz w:val="18"/>
                <w:szCs w:val="18"/>
              </w:rPr>
            </w:pPr>
            <w:r>
              <w:rPr>
                <w:rFonts w:ascii="Times New Roman" w:cs="Times New Roman" w:hAnsiTheme="minorEastAsia"/>
                <w:b/>
                <w:sz w:val="18"/>
                <w:szCs w:val="18"/>
              </w:rPr>
              <w:t>操作要点及注意事项：</w:t>
            </w:r>
          </w:p>
          <w:p>
            <w:pPr>
              <w:pStyle w:val="12"/>
              <w:numPr>
                <w:ilvl w:val="0"/>
                <w:numId w:val="11"/>
              </w:numPr>
              <w:spacing w:line="360" w:lineRule="auto"/>
              <w:ind w:left="357" w:hanging="357" w:firstLineChars="0"/>
              <w:rPr>
                <w:rFonts w:ascii="Times New Roman" w:hAnsi="Times New Roman" w:cs="Times New Roman"/>
                <w:szCs w:val="24"/>
              </w:rPr>
            </w:pPr>
            <w:r>
              <w:rPr>
                <w:rFonts w:ascii="Times New Roman" w:hAnsi="Times New Roman" w:cs="Times New Roman"/>
                <w:sz w:val="18"/>
                <w:szCs w:val="18"/>
              </w:rPr>
              <w:t>KE-293</w:t>
            </w:r>
            <w:r>
              <w:rPr>
                <w:rFonts w:ascii="Times New Roman" w:cs="Times New Roman" w:hAnsiTheme="minorEastAsia"/>
                <w:sz w:val="18"/>
                <w:szCs w:val="18"/>
              </w:rPr>
              <w:t>原液浓度为</w:t>
            </w:r>
            <w:r>
              <w:rPr>
                <w:rFonts w:ascii="Times New Roman" w:hAnsi="Times New Roman" w:cs="Times New Roman"/>
                <w:sz w:val="18"/>
                <w:szCs w:val="18"/>
              </w:rPr>
              <w:t>100%</w:t>
            </w:r>
            <w:r>
              <w:rPr>
                <w:rFonts w:ascii="Times New Roman" w:cs="Times New Roman" w:hAnsiTheme="minorEastAsia"/>
                <w:sz w:val="18"/>
                <w:szCs w:val="18"/>
              </w:rPr>
              <w:t>，工作浓度为</w:t>
            </w:r>
            <w:r>
              <w:rPr>
                <w:rFonts w:ascii="Times New Roman" w:hAnsi="Times New Roman" w:cs="Times New Roman"/>
                <w:sz w:val="18"/>
                <w:szCs w:val="18"/>
              </w:rPr>
              <w:t>0.6%</w:t>
            </w:r>
            <w:r>
              <w:rPr>
                <w:rFonts w:ascii="Times New Roman" w:cs="Times New Roman" w:hAnsiTheme="minorEastAsia"/>
                <w:sz w:val="18"/>
                <w:szCs w:val="18"/>
              </w:rPr>
              <w:t>，添加后细胞生长速度可能变缓，此为正常现象；</w:t>
            </w:r>
          </w:p>
          <w:p>
            <w:pPr>
              <w:pStyle w:val="12"/>
              <w:numPr>
                <w:ilvl w:val="0"/>
                <w:numId w:val="11"/>
              </w:numPr>
              <w:spacing w:line="360" w:lineRule="auto"/>
              <w:ind w:left="357" w:hanging="357" w:firstLineChars="0"/>
              <w:rPr>
                <w:rFonts w:ascii="Times New Roman" w:hAnsi="Times New Roman" w:cs="Times New Roman"/>
                <w:szCs w:val="24"/>
              </w:rPr>
            </w:pPr>
            <w:r>
              <w:rPr>
                <w:rFonts w:hint="eastAsia" w:ascii="Times New Roman" w:hAnsi="Times New Roman" w:cs="Times New Roman"/>
                <w:sz w:val="18"/>
                <w:szCs w:val="18"/>
              </w:rPr>
              <w:t>荧光计数取样时，不能反复吹打，防止细胞裂解影响结果。</w:t>
            </w:r>
          </w:p>
        </w:tc>
      </w:tr>
    </w:tbl>
    <w:p>
      <w:pPr>
        <w:pStyle w:val="2"/>
        <w:numPr>
          <w:ilvl w:val="0"/>
          <w:numId w:val="1"/>
        </w:numPr>
        <w:spacing w:line="360" w:lineRule="auto"/>
        <w:ind w:firstLineChars="0"/>
      </w:pPr>
      <w:r>
        <w:t>常见问题及解决方法</w:t>
      </w:r>
    </w:p>
    <w:p>
      <w:pPr>
        <w:pStyle w:val="3"/>
      </w:pPr>
      <w:r>
        <w:t>3.1 转染效率低</w:t>
      </w:r>
    </w:p>
    <w:p>
      <w:pPr>
        <w:spacing w:line="360" w:lineRule="auto"/>
        <w:ind w:firstLine="480"/>
        <w:rPr>
          <w:rFonts w:ascii="Times New Roman" w:hAnsi="Times New Roman" w:cs="Times New Roman"/>
          <w:szCs w:val="24"/>
        </w:rPr>
      </w:pPr>
      <w:r>
        <w:rPr>
          <w:rFonts w:hint="eastAsia" w:ascii="Times New Roman" w:cs="Times New Roman" w:hAnsiTheme="minorEastAsia"/>
          <w:szCs w:val="24"/>
        </w:rPr>
        <w:t>经反复多次实验鉴定，对于生长状态正常的HEK293细胞，</w:t>
      </w:r>
      <w:r>
        <w:rPr>
          <w:rFonts w:ascii="Times New Roman" w:cs="Times New Roman" w:hAnsiTheme="minorEastAsia"/>
          <w:szCs w:val="24"/>
        </w:rPr>
        <w:t>本转染系统转染荧光蛋白表达质粒</w:t>
      </w:r>
      <w:r>
        <w:rPr>
          <w:rFonts w:hint="eastAsia" w:ascii="Times New Roman" w:cs="Times New Roman" w:hAnsiTheme="minorEastAsia"/>
          <w:szCs w:val="24"/>
        </w:rPr>
        <w:t>，4</w:t>
      </w:r>
      <w:r>
        <w:rPr>
          <w:rFonts w:ascii="Times New Roman" w:cs="Times New Roman" w:hAnsiTheme="minorEastAsia"/>
          <w:szCs w:val="24"/>
        </w:rPr>
        <w:t>8</w:t>
      </w:r>
      <w:r>
        <w:rPr>
          <w:rFonts w:hint="eastAsia" w:ascii="Times New Roman" w:cs="Times New Roman" w:hAnsiTheme="minorEastAsia"/>
          <w:szCs w:val="24"/>
        </w:rPr>
        <w:t>h左右的转染</w:t>
      </w:r>
      <w:r>
        <w:rPr>
          <w:rFonts w:ascii="Times New Roman" w:cs="Times New Roman" w:hAnsiTheme="minorEastAsia"/>
          <w:szCs w:val="24"/>
        </w:rPr>
        <w:t>效率一般稳定在</w:t>
      </w:r>
      <w:r>
        <w:rPr>
          <w:rFonts w:ascii="Times New Roman" w:hAnsi="Times New Roman" w:cs="Times New Roman"/>
          <w:szCs w:val="24"/>
        </w:rPr>
        <w:t>45%~70%</w:t>
      </w:r>
      <w:r>
        <w:rPr>
          <w:rFonts w:ascii="Times New Roman" w:cs="Times New Roman" w:hAnsiTheme="minorEastAsia"/>
          <w:szCs w:val="24"/>
        </w:rPr>
        <w:t>，</w:t>
      </w:r>
      <w:r>
        <w:rPr>
          <w:rFonts w:hint="eastAsia" w:ascii="Times New Roman" w:cs="Times New Roman" w:hAnsiTheme="minorEastAsia"/>
          <w:szCs w:val="24"/>
        </w:rPr>
        <w:t>当出现</w:t>
      </w:r>
      <w:r>
        <w:rPr>
          <w:rFonts w:ascii="Times New Roman" w:cs="Times New Roman" w:hAnsiTheme="minorEastAsia"/>
          <w:szCs w:val="24"/>
        </w:rPr>
        <w:t>过低转染效率</w:t>
      </w:r>
      <w:r>
        <w:rPr>
          <w:rFonts w:hint="eastAsia" w:ascii="Times New Roman" w:cs="Times New Roman" w:hAnsiTheme="minorEastAsia"/>
          <w:szCs w:val="24"/>
        </w:rPr>
        <w:t>时其</w:t>
      </w:r>
      <w:r>
        <w:rPr>
          <w:rFonts w:ascii="Times New Roman" w:cs="Times New Roman" w:hAnsiTheme="minorEastAsia"/>
          <w:szCs w:val="24"/>
        </w:rPr>
        <w:t>可能</w:t>
      </w:r>
      <w:r>
        <w:rPr>
          <w:rFonts w:hint="eastAsia" w:ascii="Times New Roman" w:cs="Times New Roman" w:hAnsiTheme="minorEastAsia"/>
          <w:szCs w:val="24"/>
        </w:rPr>
        <w:t>原因有如下几点</w:t>
      </w:r>
      <w:r>
        <w:rPr>
          <w:rFonts w:ascii="Times New Roman" w:cs="Times New Roman" w:hAnsiTheme="minorEastAsia"/>
          <w:szCs w:val="24"/>
        </w:rPr>
        <w:t>：</w:t>
      </w:r>
    </w:p>
    <w:p>
      <w:pPr>
        <w:pStyle w:val="12"/>
        <w:numPr>
          <w:ilvl w:val="0"/>
          <w:numId w:val="12"/>
        </w:numPr>
        <w:spacing w:line="360" w:lineRule="auto"/>
        <w:ind w:left="0" w:firstLine="0" w:firstLineChars="0"/>
        <w:rPr>
          <w:rFonts w:ascii="Times New Roman" w:hAnsi="Times New Roman" w:cs="Times New Roman"/>
          <w:szCs w:val="24"/>
        </w:rPr>
      </w:pPr>
      <w:r>
        <w:rPr>
          <w:rFonts w:ascii="Times New Roman" w:cs="Times New Roman" w:hAnsiTheme="minorEastAsia"/>
          <w:szCs w:val="24"/>
        </w:rPr>
        <w:t>细胞</w:t>
      </w:r>
      <w:r>
        <w:rPr>
          <w:rFonts w:hint="eastAsia" w:ascii="Times New Roman" w:cs="Times New Roman" w:hAnsiTheme="minorEastAsia"/>
          <w:szCs w:val="24"/>
        </w:rPr>
        <w:t>存活</w:t>
      </w:r>
      <w:r>
        <w:rPr>
          <w:rFonts w:ascii="Times New Roman" w:cs="Times New Roman" w:hAnsiTheme="minorEastAsia"/>
          <w:szCs w:val="24"/>
        </w:rPr>
        <w:t>率低于</w:t>
      </w:r>
      <w:r>
        <w:rPr>
          <w:rFonts w:ascii="Times New Roman" w:hAnsi="Times New Roman" w:cs="Times New Roman"/>
          <w:szCs w:val="24"/>
        </w:rPr>
        <w:t>98%</w:t>
      </w:r>
      <w:r>
        <w:rPr>
          <w:rFonts w:ascii="Times New Roman" w:cs="Times New Roman" w:hAnsiTheme="minorEastAsia"/>
          <w:szCs w:val="24"/>
        </w:rPr>
        <w:t>；</w:t>
      </w:r>
    </w:p>
    <w:p>
      <w:pPr>
        <w:pStyle w:val="12"/>
        <w:numPr>
          <w:ilvl w:val="0"/>
          <w:numId w:val="12"/>
        </w:numPr>
        <w:spacing w:line="360" w:lineRule="auto"/>
        <w:ind w:left="0" w:firstLine="0" w:firstLineChars="0"/>
        <w:rPr>
          <w:rFonts w:ascii="Times New Roman" w:hAnsi="Times New Roman" w:cs="Times New Roman"/>
          <w:szCs w:val="24"/>
        </w:rPr>
      </w:pPr>
      <w:r>
        <w:rPr>
          <w:rFonts w:ascii="Times New Roman" w:cs="Times New Roman" w:hAnsiTheme="minorEastAsia"/>
          <w:szCs w:val="24"/>
        </w:rPr>
        <w:t>细胞增</w:t>
      </w:r>
      <w:r>
        <w:rPr>
          <w:rFonts w:hint="eastAsia" w:ascii="Times New Roman" w:cs="Times New Roman" w:hAnsiTheme="minorEastAsia"/>
          <w:szCs w:val="24"/>
        </w:rPr>
        <w:t>长</w:t>
      </w:r>
      <w:r>
        <w:rPr>
          <w:rFonts w:ascii="Times New Roman" w:cs="Times New Roman" w:hAnsiTheme="minorEastAsia"/>
          <w:szCs w:val="24"/>
        </w:rPr>
        <w:t>速度过慢；</w:t>
      </w:r>
    </w:p>
    <w:p>
      <w:pPr>
        <w:pStyle w:val="12"/>
        <w:numPr>
          <w:ilvl w:val="0"/>
          <w:numId w:val="12"/>
        </w:numPr>
        <w:spacing w:line="360" w:lineRule="auto"/>
        <w:ind w:left="0" w:firstLine="0" w:firstLineChars="0"/>
        <w:rPr>
          <w:rFonts w:ascii="Times New Roman" w:cs="Times New Roman" w:hAnsiTheme="minorEastAsia"/>
          <w:szCs w:val="24"/>
        </w:rPr>
      </w:pPr>
      <w:r>
        <w:rPr>
          <w:rFonts w:ascii="Times New Roman" w:cs="Times New Roman" w:hAnsiTheme="minorEastAsia"/>
          <w:szCs w:val="24"/>
        </w:rPr>
        <w:t>转染后孔板或者摇瓶静置培养，没有振动培养。细胞接种密度较高，静置培养转染效率略低于振动培养；</w:t>
      </w:r>
    </w:p>
    <w:p>
      <w:pPr>
        <w:pStyle w:val="12"/>
        <w:numPr>
          <w:ilvl w:val="0"/>
          <w:numId w:val="12"/>
        </w:numPr>
        <w:spacing w:line="360" w:lineRule="auto"/>
        <w:ind w:left="0" w:firstLine="0" w:firstLineChars="0"/>
        <w:rPr>
          <w:rFonts w:ascii="Times New Roman" w:hAnsi="Times New Roman" w:cs="Times New Roman"/>
          <w:szCs w:val="24"/>
        </w:rPr>
      </w:pPr>
      <w:r>
        <w:rPr>
          <w:rFonts w:ascii="Times New Roman" w:cs="Times New Roman" w:hAnsiTheme="minorEastAsia"/>
          <w:szCs w:val="24"/>
        </w:rPr>
        <w:t>细胞转染前结团</w:t>
      </w:r>
      <w:r>
        <w:rPr>
          <w:rFonts w:hint="eastAsia" w:ascii="Times New Roman" w:cs="Times New Roman" w:hAnsiTheme="minorEastAsia"/>
          <w:szCs w:val="24"/>
        </w:rPr>
        <w:t>（正常生长的细胞在</w:t>
      </w:r>
      <w:r>
        <w:rPr>
          <w:rFonts w:ascii="Times New Roman" w:hAnsi="Times New Roman" w:cs="Times New Roman"/>
          <w:szCs w:val="24"/>
        </w:rPr>
        <w:t>KOP293</w:t>
      </w:r>
      <w:r>
        <w:rPr>
          <w:rFonts w:ascii="Times New Roman" w:cs="Times New Roman" w:hAnsiTheme="minorEastAsia"/>
          <w:szCs w:val="24"/>
        </w:rPr>
        <w:t>培养液</w:t>
      </w:r>
      <w:r>
        <w:rPr>
          <w:rFonts w:hint="eastAsia" w:ascii="Times New Roman" w:cs="Times New Roman" w:hAnsiTheme="minorEastAsia"/>
          <w:szCs w:val="24"/>
        </w:rPr>
        <w:t>中</w:t>
      </w:r>
      <w:r>
        <w:rPr>
          <w:rFonts w:ascii="Times New Roman" w:cs="Times New Roman" w:hAnsiTheme="minorEastAsia"/>
          <w:szCs w:val="24"/>
        </w:rPr>
        <w:t>一般不存在结团现象，结团可能是培养液中混入其它物质</w:t>
      </w:r>
      <w:r>
        <w:rPr>
          <w:rFonts w:hint="eastAsia" w:ascii="Times New Roman" w:cs="Times New Roman" w:hAnsiTheme="minorEastAsia"/>
          <w:szCs w:val="24"/>
        </w:rPr>
        <w:t>或由大量死亡细胞及细胞分泌物等造成）；</w:t>
      </w:r>
    </w:p>
    <w:p>
      <w:pPr>
        <w:pStyle w:val="12"/>
        <w:numPr>
          <w:ilvl w:val="0"/>
          <w:numId w:val="12"/>
        </w:numPr>
        <w:spacing w:line="360" w:lineRule="auto"/>
        <w:ind w:left="0" w:firstLine="0" w:firstLineChars="0"/>
        <w:rPr>
          <w:rFonts w:ascii="Times New Roman" w:hAnsi="Times New Roman" w:cs="Times New Roman"/>
          <w:szCs w:val="24"/>
        </w:rPr>
      </w:pPr>
      <w:r>
        <w:rPr>
          <w:rFonts w:ascii="Times New Roman" w:cs="Times New Roman" w:hAnsiTheme="minorEastAsia"/>
          <w:szCs w:val="24"/>
        </w:rPr>
        <w:t>使用的质粒</w:t>
      </w:r>
      <w:r>
        <w:rPr>
          <w:rFonts w:ascii="Times New Roman" w:hAnsi="Times New Roman" w:cs="Times New Roman"/>
          <w:szCs w:val="24"/>
        </w:rPr>
        <w:t>DNA</w:t>
      </w:r>
      <w:r>
        <w:rPr>
          <w:rFonts w:ascii="Times New Roman" w:cs="Times New Roman" w:hAnsiTheme="minorEastAsia"/>
          <w:szCs w:val="24"/>
        </w:rPr>
        <w:t>含有过多的蛋白质或其它物质，或含有过多的内毒素；</w:t>
      </w:r>
    </w:p>
    <w:p>
      <w:pPr>
        <w:pStyle w:val="12"/>
        <w:numPr>
          <w:ilvl w:val="0"/>
          <w:numId w:val="12"/>
        </w:numPr>
        <w:spacing w:line="360" w:lineRule="auto"/>
        <w:ind w:left="0" w:firstLine="0" w:firstLineChars="0"/>
        <w:rPr>
          <w:rFonts w:ascii="Times New Roman" w:hAnsi="Times New Roman" w:cs="Times New Roman"/>
          <w:szCs w:val="24"/>
        </w:rPr>
      </w:pPr>
      <w:r>
        <w:rPr>
          <w:rFonts w:ascii="Times New Roman" w:cs="Times New Roman" w:hAnsiTheme="minorEastAsia"/>
          <w:szCs w:val="24"/>
        </w:rPr>
        <w:t>质粒与转染试剂的比例不当。不同质粒可能需要使用不同比例的转染试剂，范围</w:t>
      </w:r>
      <w:r>
        <w:rPr>
          <w:rFonts w:hint="eastAsia" w:ascii="Times New Roman" w:cs="Times New Roman" w:hAnsiTheme="minorEastAsia"/>
          <w:szCs w:val="24"/>
        </w:rPr>
        <w:t>一般</w:t>
      </w:r>
      <w:r>
        <w:rPr>
          <w:rFonts w:ascii="Times New Roman" w:cs="Times New Roman" w:hAnsiTheme="minorEastAsia"/>
          <w:szCs w:val="24"/>
        </w:rPr>
        <w:t>在</w:t>
      </w:r>
      <w:r>
        <w:rPr>
          <w:rFonts w:ascii="Times New Roman" w:hAnsi="Times New Roman" w:cs="Times New Roman"/>
          <w:szCs w:val="24"/>
        </w:rPr>
        <w:t>1:3</w:t>
      </w:r>
      <w:r>
        <w:rPr>
          <w:rFonts w:ascii="Times New Roman" w:cs="Times New Roman" w:hAnsiTheme="minorEastAsia"/>
          <w:szCs w:val="24"/>
        </w:rPr>
        <w:t>至</w:t>
      </w:r>
      <w:r>
        <w:rPr>
          <w:rFonts w:ascii="Times New Roman" w:hAnsi="Times New Roman" w:cs="Times New Roman"/>
          <w:szCs w:val="24"/>
        </w:rPr>
        <w:t>1:7</w:t>
      </w:r>
      <w:r>
        <w:rPr>
          <w:rFonts w:ascii="Times New Roman" w:cs="Times New Roman" w:hAnsiTheme="minorEastAsia"/>
          <w:szCs w:val="24"/>
        </w:rPr>
        <w:t>之间；</w:t>
      </w:r>
    </w:p>
    <w:p>
      <w:pPr>
        <w:pStyle w:val="12"/>
        <w:numPr>
          <w:ilvl w:val="0"/>
          <w:numId w:val="12"/>
        </w:numPr>
        <w:spacing w:line="360" w:lineRule="auto"/>
        <w:ind w:left="0" w:firstLine="0" w:firstLineChars="0"/>
        <w:rPr>
          <w:rFonts w:ascii="Times New Roman" w:hAnsi="Times New Roman" w:cs="Times New Roman"/>
          <w:szCs w:val="24"/>
        </w:rPr>
      </w:pPr>
      <w:r>
        <w:rPr>
          <w:rFonts w:ascii="Times New Roman" w:hAnsi="Times New Roman" w:cs="Times New Roman"/>
          <w:szCs w:val="24"/>
        </w:rPr>
        <w:t>KPM</w:t>
      </w:r>
      <w:r>
        <w:rPr>
          <w:rFonts w:ascii="Times New Roman" w:cs="Times New Roman" w:hAnsiTheme="minorEastAsia"/>
          <w:szCs w:val="24"/>
        </w:rPr>
        <w:t>体积使用不当。每</w:t>
      </w:r>
      <w:r>
        <w:rPr>
          <w:rFonts w:ascii="Times New Roman" w:hAnsi="Times New Roman" w:cs="Times New Roman"/>
          <w:szCs w:val="24"/>
        </w:rPr>
        <w:t>100ml</w:t>
      </w:r>
      <w:r>
        <w:rPr>
          <w:rFonts w:ascii="Times New Roman" w:cs="Times New Roman" w:hAnsiTheme="minorEastAsia"/>
          <w:szCs w:val="24"/>
        </w:rPr>
        <w:t>细胞悬液加入</w:t>
      </w:r>
      <w:r>
        <w:rPr>
          <w:rFonts w:ascii="Times New Roman" w:hAnsi="Times New Roman" w:cs="Times New Roman"/>
          <w:szCs w:val="24"/>
        </w:rPr>
        <w:t>KPM</w:t>
      </w:r>
      <w:r>
        <w:rPr>
          <w:rFonts w:ascii="Times New Roman" w:cs="Times New Roman" w:hAnsiTheme="minorEastAsia"/>
          <w:szCs w:val="24"/>
        </w:rPr>
        <w:t>的体积为</w:t>
      </w:r>
      <w:r>
        <w:rPr>
          <w:rFonts w:ascii="Times New Roman" w:hAnsi="Times New Roman" w:cs="Times New Roman"/>
          <w:szCs w:val="24"/>
        </w:rPr>
        <w:t>10ml</w:t>
      </w:r>
      <w:r>
        <w:rPr>
          <w:rFonts w:ascii="Times New Roman" w:cs="Times New Roman" w:hAnsiTheme="minorEastAsia"/>
          <w:szCs w:val="24"/>
        </w:rPr>
        <w:t>，即比例为</w:t>
      </w:r>
      <w:r>
        <w:rPr>
          <w:rFonts w:ascii="Times New Roman" w:hAnsi="Times New Roman" w:cs="Times New Roman"/>
          <w:szCs w:val="24"/>
        </w:rPr>
        <w:t>10:1</w:t>
      </w:r>
      <w:r>
        <w:rPr>
          <w:rFonts w:ascii="Times New Roman" w:cs="Times New Roman" w:hAnsiTheme="minorEastAsia"/>
          <w:szCs w:val="24"/>
        </w:rPr>
        <w:t>。</w:t>
      </w:r>
    </w:p>
    <w:p>
      <w:pPr>
        <w:spacing w:line="360" w:lineRule="auto"/>
        <w:ind w:firstLine="0" w:firstLineChars="0"/>
        <w:rPr>
          <w:rFonts w:ascii="Times New Roman" w:cs="Times New Roman" w:hAnsiTheme="minorEastAsia"/>
          <w:b/>
          <w:sz w:val="28"/>
          <w:szCs w:val="28"/>
        </w:rPr>
      </w:pPr>
      <w:r>
        <w:rPr>
          <w:rFonts w:ascii="Times New Roman" w:cs="Times New Roman" w:hAnsiTheme="minorEastAsia"/>
          <w:b/>
          <w:sz w:val="28"/>
          <w:szCs w:val="28"/>
        </w:rPr>
        <w:br w:type="page"/>
      </w:r>
    </w:p>
    <w:p>
      <w:pPr>
        <w:ind w:firstLineChars="71"/>
        <w:rPr>
          <w:rFonts w:ascii="Times New Roman" w:hAnsi="Times New Roman" w:cs="Times New Roman"/>
          <w:b/>
          <w:sz w:val="28"/>
          <w:szCs w:val="28"/>
        </w:rPr>
      </w:pPr>
      <w:r>
        <w:rPr>
          <w:rFonts w:ascii="Times New Roman" w:cs="Times New Roman" w:hAnsiTheme="minorEastAsia"/>
          <w:b/>
          <w:sz w:val="28"/>
          <w:szCs w:val="28"/>
        </w:rPr>
        <w:t>附录</w:t>
      </w:r>
    </w:p>
    <w:p>
      <w:pPr>
        <w:ind w:firstLine="480"/>
        <w:jc w:val="center"/>
        <w:rPr>
          <w:rFonts w:ascii="Times New Roman" w:hAnsi="Times New Roman" w:cs="Times New Roman"/>
          <w:szCs w:val="21"/>
        </w:rPr>
      </w:pPr>
      <w:r>
        <w:rPr>
          <w:rFonts w:ascii="Times New Roman" w:cs="Times New Roman" w:hAnsiTheme="minorEastAsia"/>
          <w:szCs w:val="21"/>
        </w:rPr>
        <w:t>表</w:t>
      </w:r>
      <w:r>
        <w:rPr>
          <w:rFonts w:ascii="Times New Roman" w:hAnsi="Times New Roman" w:cs="Times New Roman"/>
          <w:szCs w:val="21"/>
        </w:rPr>
        <w:t>1</w:t>
      </w:r>
      <w:r>
        <w:rPr>
          <w:rFonts w:ascii="Times New Roman" w:cs="Times New Roman" w:hAnsiTheme="minorEastAsia"/>
          <w:szCs w:val="21"/>
        </w:rPr>
        <w:t>：试剂清单</w:t>
      </w:r>
    </w:p>
    <w:tbl>
      <w:tblPr>
        <w:tblStyle w:val="9"/>
        <w:tblW w:w="9956" w:type="dxa"/>
        <w:jc w:val="center"/>
        <w:tblBorders>
          <w:top w:val="single" w:color="4F81BD" w:themeColor="accent1" w:sz="12" w:space="0"/>
          <w:left w:val="none" w:color="auto" w:sz="0" w:space="0"/>
          <w:bottom w:val="single" w:color="4F81BD" w:themeColor="accent1"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5103"/>
        <w:gridCol w:w="1559"/>
        <w:gridCol w:w="1734"/>
      </w:tblGrid>
      <w:tr>
        <w:tblPrEx>
          <w:tblBorders>
            <w:top w:val="single" w:color="4F81BD" w:themeColor="accent1" w:sz="12" w:space="0"/>
            <w:left w:val="none" w:color="auto" w:sz="0" w:space="0"/>
            <w:bottom w:val="single" w:color="4F81BD" w:themeColor="accen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60" w:type="dxa"/>
            <w:tcBorders>
              <w:top w:val="single" w:color="4F81BD" w:themeColor="accent1" w:sz="12" w:space="0"/>
              <w:bottom w:val="single" w:color="4F81BD" w:themeColor="accent1" w:sz="4" w:space="0"/>
            </w:tcBorders>
            <w:vAlign w:val="center"/>
          </w:tcPr>
          <w:p>
            <w:pPr>
              <w:ind w:firstLine="0" w:firstLineChars="0"/>
              <w:rPr>
                <w:rFonts w:ascii="Times New Roman" w:hAnsi="Times New Roman" w:cs="Times New Roman"/>
                <w:b/>
                <w:szCs w:val="24"/>
              </w:rPr>
            </w:pPr>
            <w:r>
              <w:rPr>
                <w:rFonts w:ascii="Times New Roman" w:cs="Times New Roman" w:hAnsiTheme="minorEastAsia"/>
                <w:b/>
                <w:szCs w:val="24"/>
              </w:rPr>
              <w:t>产品名称</w:t>
            </w:r>
          </w:p>
        </w:tc>
        <w:tc>
          <w:tcPr>
            <w:tcW w:w="5103" w:type="dxa"/>
            <w:tcBorders>
              <w:top w:val="single" w:color="4F81BD" w:themeColor="accent1" w:sz="12" w:space="0"/>
              <w:bottom w:val="single" w:color="4F81BD" w:themeColor="accent1" w:sz="4" w:space="0"/>
            </w:tcBorders>
            <w:vAlign w:val="center"/>
          </w:tcPr>
          <w:p>
            <w:pPr>
              <w:ind w:firstLine="482"/>
              <w:jc w:val="center"/>
              <w:rPr>
                <w:rFonts w:ascii="Times New Roman" w:hAnsi="Times New Roman" w:cs="Times New Roman"/>
                <w:b/>
                <w:szCs w:val="24"/>
              </w:rPr>
            </w:pPr>
            <w:r>
              <w:rPr>
                <w:rFonts w:hint="eastAsia" w:ascii="Times New Roman" w:hAnsi="Times New Roman" w:cs="Times New Roman"/>
                <w:b/>
                <w:szCs w:val="24"/>
              </w:rPr>
              <w:t>内容</w:t>
            </w:r>
          </w:p>
        </w:tc>
        <w:tc>
          <w:tcPr>
            <w:tcW w:w="1559" w:type="dxa"/>
            <w:tcBorders>
              <w:top w:val="single" w:color="4F81BD" w:themeColor="accent1" w:sz="12" w:space="0"/>
              <w:bottom w:val="single" w:color="4F81BD" w:themeColor="accent1" w:sz="4" w:space="0"/>
            </w:tcBorders>
            <w:vAlign w:val="center"/>
          </w:tcPr>
          <w:p>
            <w:pPr>
              <w:ind w:firstLine="482"/>
              <w:jc w:val="center"/>
              <w:rPr>
                <w:rFonts w:ascii="Times New Roman" w:hAnsi="Times New Roman" w:cs="Times New Roman"/>
                <w:b/>
                <w:szCs w:val="24"/>
              </w:rPr>
            </w:pPr>
            <w:r>
              <w:rPr>
                <w:rFonts w:ascii="Times New Roman" w:cs="Times New Roman" w:hAnsiTheme="minorEastAsia"/>
                <w:b/>
                <w:szCs w:val="24"/>
              </w:rPr>
              <w:t>规格</w:t>
            </w:r>
          </w:p>
        </w:tc>
        <w:tc>
          <w:tcPr>
            <w:tcW w:w="1734" w:type="dxa"/>
            <w:tcBorders>
              <w:top w:val="single" w:color="4F81BD" w:themeColor="accent1" w:sz="12" w:space="0"/>
              <w:bottom w:val="single" w:color="4F81BD" w:themeColor="accent1" w:sz="4" w:space="0"/>
            </w:tcBorders>
            <w:vAlign w:val="center"/>
          </w:tcPr>
          <w:p>
            <w:pPr>
              <w:ind w:firstLine="482"/>
              <w:jc w:val="center"/>
              <w:rPr>
                <w:rFonts w:ascii="Times New Roman" w:hAnsi="Times New Roman" w:cs="Times New Roman"/>
                <w:b/>
                <w:szCs w:val="24"/>
              </w:rPr>
            </w:pPr>
            <w:r>
              <w:rPr>
                <w:rFonts w:ascii="Times New Roman" w:cs="Times New Roman" w:hAnsiTheme="minorEastAsia"/>
                <w:b/>
                <w:szCs w:val="24"/>
              </w:rPr>
              <w:t>储存条件</w:t>
            </w:r>
          </w:p>
        </w:tc>
      </w:tr>
      <w:tr>
        <w:tblPrEx>
          <w:tblBorders>
            <w:top w:val="single" w:color="4F81BD" w:themeColor="accent1" w:sz="12" w:space="0"/>
            <w:left w:val="none" w:color="auto" w:sz="0" w:space="0"/>
            <w:bottom w:val="single" w:color="4F81BD" w:themeColor="accen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60" w:type="dxa"/>
            <w:tcBorders>
              <w:top w:val="single" w:color="4F81BD" w:themeColor="accent1" w:sz="4" w:space="0"/>
              <w:bottom w:val="dashed" w:color="auto" w:sz="4" w:space="0"/>
            </w:tcBorders>
            <w:vAlign w:val="center"/>
          </w:tcPr>
          <w:p>
            <w:pPr>
              <w:ind w:firstLine="0" w:firstLineChars="0"/>
              <w:rPr>
                <w:rFonts w:ascii="Times New Roman" w:hAnsi="Times New Roman" w:cs="Times New Roman"/>
                <w:b/>
                <w:szCs w:val="24"/>
              </w:rPr>
            </w:pPr>
            <w:r>
              <w:rPr>
                <w:rFonts w:ascii="Times New Roman" w:hAnsi="Times New Roman" w:cs="Times New Roman"/>
                <w:b/>
                <w:szCs w:val="24"/>
              </w:rPr>
              <w:t>KOP293</w:t>
            </w:r>
          </w:p>
        </w:tc>
        <w:tc>
          <w:tcPr>
            <w:tcW w:w="5103" w:type="dxa"/>
            <w:tcBorders>
              <w:top w:val="single" w:color="4F81BD" w:themeColor="accent1" w:sz="4" w:space="0"/>
              <w:bottom w:val="dashed" w:color="auto" w:sz="4" w:space="0"/>
            </w:tcBorders>
            <w:vAlign w:val="center"/>
          </w:tcPr>
          <w:p>
            <w:pPr>
              <w:ind w:firstLine="480"/>
              <w:jc w:val="center"/>
              <w:rPr>
                <w:rFonts w:ascii="Times New Roman" w:hAnsi="Times New Roman" w:cs="Times New Roman"/>
                <w:szCs w:val="24"/>
              </w:rPr>
            </w:pPr>
            <w:r>
              <w:rPr>
                <w:rFonts w:hint="eastAsia" w:ascii="Times New Roman" w:hAnsi="Times New Roman" w:cs="Times New Roman"/>
                <w:szCs w:val="24"/>
              </w:rPr>
              <w:t>293化学限定高密度无血清细胞培养液</w:t>
            </w:r>
          </w:p>
        </w:tc>
        <w:tc>
          <w:tcPr>
            <w:tcW w:w="1559" w:type="dxa"/>
            <w:tcBorders>
              <w:top w:val="single" w:color="4F81BD" w:themeColor="accent1" w:sz="4" w:space="0"/>
              <w:bottom w:val="dashed" w:color="auto" w:sz="4" w:space="0"/>
            </w:tcBorders>
            <w:vAlign w:val="center"/>
          </w:tcPr>
          <w:p>
            <w:pPr>
              <w:ind w:firstLine="480"/>
              <w:jc w:val="center"/>
              <w:rPr>
                <w:rFonts w:ascii="Times New Roman" w:hAnsi="Times New Roman" w:cs="Times New Roman"/>
                <w:szCs w:val="24"/>
              </w:rPr>
            </w:pPr>
            <w:r>
              <w:rPr>
                <w:rFonts w:ascii="Times New Roman" w:hAnsi="Times New Roman" w:cs="Times New Roman"/>
                <w:szCs w:val="24"/>
              </w:rPr>
              <w:t>1000ml</w:t>
            </w:r>
          </w:p>
        </w:tc>
        <w:tc>
          <w:tcPr>
            <w:tcW w:w="1734" w:type="dxa"/>
            <w:tcBorders>
              <w:top w:val="single" w:color="4F81BD" w:themeColor="accent1" w:sz="4" w:space="0"/>
              <w:bottom w:val="dashed" w:color="auto" w:sz="4" w:space="0"/>
            </w:tcBorders>
            <w:vAlign w:val="center"/>
          </w:tcPr>
          <w:p>
            <w:pPr>
              <w:ind w:firstLine="480"/>
              <w:jc w:val="center"/>
              <w:rPr>
                <w:rFonts w:ascii="Times New Roman" w:hAnsi="Times New Roman" w:cs="Times New Roman"/>
                <w:szCs w:val="24"/>
              </w:rPr>
            </w:pPr>
            <w:r>
              <w:rPr>
                <w:rFonts w:ascii="Times New Roman" w:hAnsi="Times New Roman" w:cs="Times New Roman"/>
                <w:szCs w:val="24"/>
              </w:rPr>
              <w:t>2~8</w:t>
            </w:r>
            <w:r>
              <w:rPr>
                <w:rFonts w:cs="Times New Roman" w:asciiTheme="minorEastAsia" w:hAnsiTheme="minorEastAsia"/>
                <w:szCs w:val="24"/>
              </w:rPr>
              <w:t>℃</w:t>
            </w:r>
          </w:p>
        </w:tc>
      </w:tr>
      <w:tr>
        <w:tblPrEx>
          <w:tblBorders>
            <w:top w:val="single" w:color="4F81BD" w:themeColor="accent1" w:sz="12" w:space="0"/>
            <w:left w:val="none" w:color="auto" w:sz="0" w:space="0"/>
            <w:bottom w:val="single" w:color="4F81BD" w:themeColor="accen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60" w:type="dxa"/>
            <w:vAlign w:val="center"/>
          </w:tcPr>
          <w:p>
            <w:pPr>
              <w:ind w:firstLine="0" w:firstLineChars="0"/>
              <w:rPr>
                <w:rFonts w:ascii="Times New Roman" w:hAnsi="Times New Roman" w:cs="Times New Roman"/>
                <w:b/>
                <w:szCs w:val="24"/>
              </w:rPr>
            </w:pPr>
            <w:r>
              <w:rPr>
                <w:rFonts w:ascii="Times New Roman" w:hAnsi="Times New Roman" w:cs="Times New Roman"/>
                <w:b/>
                <w:szCs w:val="24"/>
              </w:rPr>
              <w:t>KPM</w:t>
            </w:r>
          </w:p>
        </w:tc>
        <w:tc>
          <w:tcPr>
            <w:tcW w:w="5103" w:type="dxa"/>
            <w:vAlign w:val="center"/>
          </w:tcPr>
          <w:p>
            <w:pPr>
              <w:ind w:firstLine="480"/>
              <w:jc w:val="center"/>
              <w:rPr>
                <w:rFonts w:ascii="Times New Roman" w:hAnsi="Times New Roman" w:cs="Times New Roman"/>
                <w:szCs w:val="24"/>
              </w:rPr>
            </w:pPr>
            <w:r>
              <w:rPr>
                <w:rFonts w:hint="eastAsia" w:ascii="Times New Roman" w:cs="Times New Roman" w:hAnsiTheme="minorEastAsia"/>
                <w:szCs w:val="24"/>
              </w:rPr>
              <w:t>无血清细胞转染缓冲溶液100ml</w:t>
            </w:r>
          </w:p>
        </w:tc>
        <w:tc>
          <w:tcPr>
            <w:tcW w:w="1559" w:type="dxa"/>
            <w:vAlign w:val="center"/>
          </w:tcPr>
          <w:p>
            <w:pPr>
              <w:ind w:firstLine="480"/>
              <w:jc w:val="center"/>
              <w:rPr>
                <w:rFonts w:ascii="Times New Roman" w:hAnsi="Times New Roman" w:cs="Times New Roman"/>
                <w:szCs w:val="24"/>
              </w:rPr>
            </w:pPr>
            <w:r>
              <w:rPr>
                <w:rFonts w:ascii="Times New Roman" w:hAnsi="Times New Roman" w:cs="Times New Roman"/>
                <w:szCs w:val="24"/>
              </w:rPr>
              <w:t>100ml</w:t>
            </w:r>
          </w:p>
        </w:tc>
        <w:tc>
          <w:tcPr>
            <w:tcW w:w="1734" w:type="dxa"/>
            <w:vAlign w:val="center"/>
          </w:tcPr>
          <w:p>
            <w:pPr>
              <w:ind w:firstLine="480"/>
              <w:jc w:val="center"/>
              <w:rPr>
                <w:rFonts w:ascii="Times New Roman" w:hAnsi="Times New Roman" w:cs="Times New Roman"/>
                <w:szCs w:val="24"/>
              </w:rPr>
            </w:pPr>
            <w:r>
              <w:rPr>
                <w:rFonts w:ascii="Times New Roman" w:hAnsi="Times New Roman" w:cs="Times New Roman"/>
                <w:szCs w:val="24"/>
              </w:rPr>
              <w:t>2~8</w:t>
            </w:r>
            <w:r>
              <w:rPr>
                <w:rFonts w:cs="Times New Roman" w:asciiTheme="minorEastAsia" w:hAnsiTheme="minorEastAsia"/>
                <w:szCs w:val="24"/>
              </w:rPr>
              <w:t>℃</w:t>
            </w:r>
          </w:p>
        </w:tc>
      </w:tr>
      <w:tr>
        <w:tblPrEx>
          <w:tblBorders>
            <w:top w:val="single" w:color="4F81BD" w:themeColor="accent1" w:sz="12" w:space="0"/>
            <w:left w:val="none" w:color="auto" w:sz="0" w:space="0"/>
            <w:bottom w:val="single" w:color="4F81BD" w:themeColor="accen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60" w:type="dxa"/>
            <w:vAlign w:val="center"/>
          </w:tcPr>
          <w:p>
            <w:pPr>
              <w:ind w:firstLine="0" w:firstLineChars="0"/>
              <w:rPr>
                <w:rFonts w:ascii="Times New Roman" w:hAnsi="Times New Roman" w:cs="Times New Roman"/>
                <w:b/>
                <w:szCs w:val="24"/>
              </w:rPr>
            </w:pPr>
            <w:r>
              <w:rPr>
                <w:rFonts w:ascii="Times New Roman" w:hAnsi="Times New Roman" w:cs="Times New Roman"/>
                <w:b/>
                <w:szCs w:val="24"/>
              </w:rPr>
              <w:t>TA-293</w:t>
            </w:r>
          </w:p>
        </w:tc>
        <w:tc>
          <w:tcPr>
            <w:tcW w:w="5103" w:type="dxa"/>
            <w:vAlign w:val="center"/>
          </w:tcPr>
          <w:p>
            <w:pPr>
              <w:ind w:firstLine="480"/>
              <w:jc w:val="center"/>
              <w:rPr>
                <w:rFonts w:ascii="Times New Roman" w:hAnsi="Times New Roman" w:cs="Times New Roman"/>
                <w:szCs w:val="24"/>
              </w:rPr>
            </w:pPr>
            <w:r>
              <w:rPr>
                <w:rFonts w:hint="eastAsia" w:ascii="Times New Roman" w:cs="Times New Roman" w:hAnsiTheme="minorEastAsia"/>
                <w:szCs w:val="24"/>
              </w:rPr>
              <w:t>293细胞悬浮化学转染试剂</w:t>
            </w:r>
          </w:p>
        </w:tc>
        <w:tc>
          <w:tcPr>
            <w:tcW w:w="1559" w:type="dxa"/>
            <w:vAlign w:val="center"/>
          </w:tcPr>
          <w:p>
            <w:pPr>
              <w:ind w:firstLine="480"/>
              <w:jc w:val="center"/>
              <w:rPr>
                <w:rFonts w:ascii="Times New Roman" w:hAnsi="Times New Roman" w:cs="Times New Roman"/>
                <w:szCs w:val="24"/>
              </w:rPr>
            </w:pPr>
            <w:r>
              <w:rPr>
                <w:rFonts w:ascii="Times New Roman" w:hAnsi="Times New Roman" w:cs="Times New Roman"/>
                <w:szCs w:val="24"/>
              </w:rPr>
              <w:t>6ml</w:t>
            </w:r>
          </w:p>
        </w:tc>
        <w:tc>
          <w:tcPr>
            <w:tcW w:w="1734" w:type="dxa"/>
            <w:vAlign w:val="center"/>
          </w:tcPr>
          <w:p>
            <w:pPr>
              <w:ind w:firstLine="480"/>
              <w:jc w:val="center"/>
              <w:rPr>
                <w:rFonts w:ascii="Times New Roman" w:hAnsi="Times New Roman" w:cs="Times New Roman"/>
                <w:szCs w:val="24"/>
              </w:rPr>
            </w:pPr>
            <w:r>
              <w:rPr>
                <w:rFonts w:ascii="Times New Roman" w:hAnsi="Times New Roman" w:cs="Times New Roman"/>
                <w:szCs w:val="24"/>
              </w:rPr>
              <w:t>-20</w:t>
            </w:r>
            <w:r>
              <w:rPr>
                <w:rFonts w:cs="Times New Roman" w:asciiTheme="minorEastAsia" w:hAnsiTheme="minorEastAsia"/>
                <w:szCs w:val="24"/>
              </w:rPr>
              <w:t>℃</w:t>
            </w:r>
          </w:p>
        </w:tc>
      </w:tr>
      <w:tr>
        <w:tblPrEx>
          <w:tblBorders>
            <w:top w:val="single" w:color="4F81BD" w:themeColor="accent1" w:sz="12" w:space="0"/>
            <w:left w:val="none" w:color="auto" w:sz="0" w:space="0"/>
            <w:bottom w:val="single" w:color="4F81BD" w:themeColor="accen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1560" w:type="dxa"/>
            <w:tcBorders>
              <w:bottom w:val="dashed" w:color="auto" w:sz="4" w:space="0"/>
            </w:tcBorders>
            <w:vAlign w:val="center"/>
          </w:tcPr>
          <w:p>
            <w:pPr>
              <w:ind w:firstLine="0" w:firstLineChars="0"/>
              <w:rPr>
                <w:rFonts w:ascii="Times New Roman" w:hAnsi="Times New Roman" w:cs="Times New Roman"/>
                <w:b/>
                <w:szCs w:val="24"/>
              </w:rPr>
            </w:pPr>
            <w:r>
              <w:rPr>
                <w:rFonts w:ascii="Times New Roman" w:hAnsi="Times New Roman" w:cs="Times New Roman"/>
                <w:b/>
                <w:szCs w:val="24"/>
              </w:rPr>
              <w:t>KE-293</w:t>
            </w:r>
          </w:p>
        </w:tc>
        <w:tc>
          <w:tcPr>
            <w:tcW w:w="5103" w:type="dxa"/>
            <w:tcBorders>
              <w:bottom w:val="dashed" w:color="auto" w:sz="4" w:space="0"/>
            </w:tcBorders>
            <w:vAlign w:val="center"/>
          </w:tcPr>
          <w:p>
            <w:pPr>
              <w:ind w:firstLine="480"/>
              <w:jc w:val="center"/>
              <w:rPr>
                <w:rFonts w:ascii="Times New Roman" w:hAnsi="Times New Roman" w:cs="Times New Roman"/>
                <w:szCs w:val="24"/>
              </w:rPr>
            </w:pPr>
            <w:r>
              <w:rPr>
                <w:rFonts w:hint="eastAsia" w:ascii="Times New Roman" w:hAnsi="Times New Roman" w:cs="Times New Roman"/>
                <w:szCs w:val="24"/>
              </w:rPr>
              <w:t>293细胞蛋白表达增强剂</w:t>
            </w:r>
          </w:p>
        </w:tc>
        <w:tc>
          <w:tcPr>
            <w:tcW w:w="1559" w:type="dxa"/>
            <w:tcBorders>
              <w:bottom w:val="dashed" w:color="auto" w:sz="4" w:space="0"/>
            </w:tcBorders>
            <w:vAlign w:val="center"/>
          </w:tcPr>
          <w:p>
            <w:pPr>
              <w:ind w:firstLine="480"/>
              <w:jc w:val="center"/>
              <w:rPr>
                <w:rFonts w:ascii="Times New Roman" w:hAnsi="Times New Roman" w:cs="Times New Roman"/>
                <w:szCs w:val="24"/>
              </w:rPr>
            </w:pPr>
            <w:r>
              <w:rPr>
                <w:rFonts w:ascii="Times New Roman" w:hAnsi="Times New Roman" w:cs="Times New Roman"/>
                <w:szCs w:val="24"/>
              </w:rPr>
              <w:t>6ml</w:t>
            </w:r>
          </w:p>
        </w:tc>
        <w:tc>
          <w:tcPr>
            <w:tcW w:w="1734" w:type="dxa"/>
            <w:tcBorders>
              <w:bottom w:val="dashed" w:color="auto" w:sz="4" w:space="0"/>
            </w:tcBorders>
            <w:vAlign w:val="center"/>
          </w:tcPr>
          <w:p>
            <w:pPr>
              <w:ind w:firstLine="480"/>
              <w:jc w:val="center"/>
              <w:rPr>
                <w:rFonts w:ascii="Times New Roman" w:hAnsi="Times New Roman" w:cs="Times New Roman"/>
                <w:szCs w:val="24"/>
              </w:rPr>
            </w:pPr>
            <w:r>
              <w:rPr>
                <w:rFonts w:ascii="Times New Roman" w:hAnsi="Times New Roman" w:cs="Times New Roman"/>
                <w:szCs w:val="24"/>
              </w:rPr>
              <w:t>-20</w:t>
            </w:r>
            <w:r>
              <w:rPr>
                <w:rFonts w:cs="Times New Roman" w:asciiTheme="minorEastAsia" w:hAnsiTheme="minorEastAsia"/>
                <w:szCs w:val="24"/>
              </w:rPr>
              <w:t>℃</w:t>
            </w:r>
          </w:p>
        </w:tc>
      </w:tr>
      <w:tr>
        <w:tblPrEx>
          <w:tblBorders>
            <w:top w:val="single" w:color="4F81BD" w:themeColor="accent1" w:sz="12" w:space="0"/>
            <w:left w:val="none" w:color="auto" w:sz="0" w:space="0"/>
            <w:bottom w:val="single" w:color="4F81BD" w:themeColor="accen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560" w:type="dxa"/>
            <w:tcBorders>
              <w:top w:val="dashed" w:color="auto" w:sz="4" w:space="0"/>
              <w:bottom w:val="single" w:color="4F81BD" w:themeColor="accent1" w:sz="12" w:space="0"/>
            </w:tcBorders>
            <w:vAlign w:val="center"/>
          </w:tcPr>
          <w:p>
            <w:pPr>
              <w:ind w:firstLine="0" w:firstLineChars="0"/>
              <w:rPr>
                <w:rFonts w:ascii="Times New Roman" w:hAnsi="Times New Roman" w:cs="Times New Roman"/>
                <w:b/>
                <w:szCs w:val="24"/>
              </w:rPr>
            </w:pPr>
            <w:r>
              <w:rPr>
                <w:rFonts w:ascii="Times New Roman" w:hAnsi="Times New Roman" w:cs="Times New Roman"/>
                <w:b/>
                <w:szCs w:val="24"/>
              </w:rPr>
              <w:t>KT-Feed*</w:t>
            </w:r>
          </w:p>
        </w:tc>
        <w:tc>
          <w:tcPr>
            <w:tcW w:w="5103" w:type="dxa"/>
            <w:tcBorders>
              <w:top w:val="dashed" w:color="auto" w:sz="4" w:space="0"/>
              <w:bottom w:val="single" w:color="4F81BD" w:themeColor="accent1" w:sz="12" w:space="0"/>
            </w:tcBorders>
            <w:vAlign w:val="center"/>
          </w:tcPr>
          <w:p>
            <w:pPr>
              <w:ind w:firstLine="480"/>
              <w:jc w:val="center"/>
              <w:rPr>
                <w:rFonts w:ascii="Times New Roman" w:hAnsi="Times New Roman" w:cs="Times New Roman"/>
                <w:szCs w:val="24"/>
              </w:rPr>
            </w:pPr>
            <w:r>
              <w:rPr>
                <w:rFonts w:hint="eastAsia" w:ascii="Times New Roman" w:cs="Times New Roman" w:hAnsiTheme="minorEastAsia"/>
                <w:szCs w:val="24"/>
              </w:rPr>
              <w:t>瞬时重组蛋白表达植物蛋白胨营养添加剂</w:t>
            </w:r>
          </w:p>
        </w:tc>
        <w:tc>
          <w:tcPr>
            <w:tcW w:w="1559" w:type="dxa"/>
            <w:tcBorders>
              <w:top w:val="dashed" w:color="auto" w:sz="4" w:space="0"/>
              <w:bottom w:val="single" w:color="4F81BD" w:themeColor="accent1" w:sz="12" w:space="0"/>
            </w:tcBorders>
            <w:vAlign w:val="center"/>
          </w:tcPr>
          <w:p>
            <w:pPr>
              <w:ind w:firstLine="480"/>
              <w:jc w:val="center"/>
              <w:rPr>
                <w:rFonts w:ascii="Times New Roman" w:hAnsi="Times New Roman" w:cs="Times New Roman"/>
                <w:szCs w:val="24"/>
              </w:rPr>
            </w:pPr>
            <w:r>
              <w:rPr>
                <w:rFonts w:ascii="Times New Roman" w:hAnsi="Times New Roman" w:cs="Times New Roman"/>
                <w:szCs w:val="24"/>
              </w:rPr>
              <w:t>100ml</w:t>
            </w:r>
          </w:p>
        </w:tc>
        <w:tc>
          <w:tcPr>
            <w:tcW w:w="1734" w:type="dxa"/>
            <w:tcBorders>
              <w:top w:val="dashed" w:color="auto" w:sz="4" w:space="0"/>
              <w:bottom w:val="single" w:color="4F81BD" w:themeColor="accent1" w:sz="12" w:space="0"/>
            </w:tcBorders>
            <w:vAlign w:val="center"/>
          </w:tcPr>
          <w:p>
            <w:pPr>
              <w:ind w:firstLine="480"/>
              <w:jc w:val="center"/>
              <w:rPr>
                <w:rFonts w:ascii="Times New Roman" w:hAnsi="Times New Roman" w:cs="Times New Roman"/>
                <w:szCs w:val="24"/>
              </w:rPr>
            </w:pPr>
            <w:r>
              <w:rPr>
                <w:rFonts w:ascii="Times New Roman" w:hAnsi="Times New Roman" w:cs="Times New Roman"/>
                <w:szCs w:val="24"/>
              </w:rPr>
              <w:t>2~8</w:t>
            </w:r>
            <w:r>
              <w:rPr>
                <w:rFonts w:cs="Times New Roman" w:asciiTheme="minorEastAsia" w:hAnsiTheme="minorEastAsia"/>
                <w:szCs w:val="24"/>
              </w:rPr>
              <w:t>℃</w:t>
            </w:r>
          </w:p>
        </w:tc>
      </w:tr>
    </w:tbl>
    <w:p>
      <w:pPr>
        <w:ind w:firstLine="360"/>
        <w:jc w:val="right"/>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选择性试剂。</w:t>
      </w:r>
      <w:r>
        <w:rPr>
          <w:rFonts w:hint="eastAsia" w:ascii="Times New Roman" w:cs="Times New Roman" w:hAnsiTheme="minorEastAsia"/>
          <w:sz w:val="18"/>
          <w:szCs w:val="18"/>
        </w:rPr>
        <w:t>非化学限定，不含血清及其它动物源成分</w:t>
      </w:r>
    </w:p>
    <w:p>
      <w:pPr>
        <w:ind w:firstLine="482"/>
        <w:rPr>
          <w:rFonts w:ascii="Times New Roman" w:hAnsi="Times New Roman" w:cs="Times New Roman"/>
          <w:b/>
          <w:szCs w:val="24"/>
        </w:rPr>
      </w:pPr>
    </w:p>
    <w:p>
      <w:pPr>
        <w:ind w:firstLine="480"/>
        <w:jc w:val="center"/>
        <w:rPr>
          <w:rFonts w:ascii="Times New Roman" w:hAnsi="Times New Roman" w:cs="Times New Roman"/>
          <w:szCs w:val="21"/>
        </w:rPr>
      </w:pPr>
      <w:r>
        <w:rPr>
          <w:rFonts w:ascii="Times New Roman" w:cs="Times New Roman" w:hAnsiTheme="minorEastAsia"/>
          <w:szCs w:val="21"/>
        </w:rPr>
        <w:t>表</w:t>
      </w:r>
      <w:r>
        <w:rPr>
          <w:rFonts w:ascii="Times New Roman" w:hAnsi="Times New Roman" w:cs="Times New Roman"/>
          <w:szCs w:val="21"/>
        </w:rPr>
        <w:t>2</w:t>
      </w:r>
      <w:r>
        <w:rPr>
          <w:rFonts w:ascii="Times New Roman" w:cs="Times New Roman" w:hAnsiTheme="minorEastAsia"/>
          <w:szCs w:val="21"/>
        </w:rPr>
        <w:t>：试剂说明</w:t>
      </w:r>
    </w:p>
    <w:tbl>
      <w:tblPr>
        <w:tblStyle w:val="9"/>
        <w:tblW w:w="9962" w:type="dxa"/>
        <w:jc w:val="center"/>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8578"/>
      </w:tblGrid>
      <w:tr>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84" w:type="dxa"/>
            <w:tcBorders>
              <w:top w:val="single" w:color="4F81BD" w:themeColor="accent1" w:sz="12" w:space="0"/>
              <w:bottom w:val="single" w:color="4F81BD" w:themeColor="accent1" w:sz="12" w:space="0"/>
              <w:right w:val="single" w:color="4F81BD" w:themeColor="accent1" w:sz="8" w:space="0"/>
            </w:tcBorders>
            <w:vAlign w:val="center"/>
          </w:tcPr>
          <w:p>
            <w:pPr>
              <w:ind w:firstLine="0" w:firstLineChars="0"/>
              <w:rPr>
                <w:rFonts w:ascii="Times New Roman" w:hAnsi="Times New Roman" w:cs="Times New Roman"/>
                <w:b/>
                <w:szCs w:val="24"/>
              </w:rPr>
            </w:pPr>
            <w:r>
              <w:rPr>
                <w:rFonts w:ascii="Times New Roman" w:cs="Times New Roman" w:hAnsiTheme="minorEastAsia"/>
                <w:b/>
                <w:szCs w:val="24"/>
              </w:rPr>
              <w:t>产品名称</w:t>
            </w:r>
          </w:p>
        </w:tc>
        <w:tc>
          <w:tcPr>
            <w:tcW w:w="8578" w:type="dxa"/>
            <w:tcBorders>
              <w:top w:val="single" w:color="4F81BD" w:themeColor="accent1" w:sz="12" w:space="0"/>
              <w:left w:val="single" w:color="4F81BD" w:themeColor="accent1" w:sz="8" w:space="0"/>
              <w:bottom w:val="single" w:color="4F81BD" w:themeColor="accent1" w:sz="12" w:space="0"/>
            </w:tcBorders>
            <w:vAlign w:val="center"/>
          </w:tcPr>
          <w:p>
            <w:pPr>
              <w:ind w:firstLine="482"/>
              <w:jc w:val="center"/>
              <w:rPr>
                <w:rFonts w:ascii="Times New Roman" w:hAnsi="Times New Roman" w:cs="Times New Roman"/>
                <w:b/>
                <w:szCs w:val="24"/>
              </w:rPr>
            </w:pPr>
            <w:r>
              <w:rPr>
                <w:rFonts w:ascii="Times New Roman" w:cs="Times New Roman" w:hAnsiTheme="minorEastAsia"/>
                <w:b/>
                <w:szCs w:val="24"/>
              </w:rPr>
              <w:t>说明</w:t>
            </w:r>
          </w:p>
        </w:tc>
      </w:tr>
      <w:tr>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384" w:type="dxa"/>
            <w:tcBorders>
              <w:top w:val="single" w:color="4F81BD" w:themeColor="accent1" w:sz="12" w:space="0"/>
              <w:bottom w:val="single" w:color="4F81BD" w:themeColor="accent1" w:sz="8" w:space="0"/>
              <w:right w:val="single" w:color="4F81BD" w:themeColor="accent1" w:sz="8" w:space="0"/>
            </w:tcBorders>
            <w:vAlign w:val="center"/>
          </w:tcPr>
          <w:p>
            <w:pPr>
              <w:ind w:firstLine="0" w:firstLineChars="0"/>
              <w:rPr>
                <w:rFonts w:ascii="Times New Roman" w:hAnsi="Times New Roman" w:cs="Times New Roman"/>
                <w:b/>
                <w:szCs w:val="24"/>
              </w:rPr>
            </w:pPr>
            <w:r>
              <w:rPr>
                <w:rFonts w:ascii="Times New Roman" w:hAnsi="Times New Roman" w:cs="Times New Roman"/>
                <w:b/>
                <w:szCs w:val="24"/>
              </w:rPr>
              <w:t>KOP293</w:t>
            </w:r>
          </w:p>
        </w:tc>
        <w:tc>
          <w:tcPr>
            <w:tcW w:w="8578" w:type="dxa"/>
            <w:tcBorders>
              <w:top w:val="single" w:color="4F81BD" w:themeColor="accent1" w:sz="12" w:space="0"/>
              <w:left w:val="single" w:color="4F81BD" w:themeColor="accent1" w:sz="8" w:space="0"/>
              <w:bottom w:val="single" w:color="4F81BD" w:themeColor="accent1" w:sz="8" w:space="0"/>
            </w:tcBorders>
            <w:vAlign w:val="center"/>
          </w:tcPr>
          <w:p>
            <w:pPr>
              <w:ind w:firstLine="0" w:firstLineChars="0"/>
              <w:rPr>
                <w:rFonts w:ascii="Times New Roman" w:hAnsi="Times New Roman" w:cs="Times New Roman"/>
                <w:szCs w:val="21"/>
              </w:rPr>
            </w:pPr>
            <w:r>
              <w:rPr>
                <w:rFonts w:ascii="Times New Roman" w:hAnsi="Times New Roman" w:cs="Times New Roman"/>
                <w:szCs w:val="21"/>
              </w:rPr>
              <w:t>KOP293</w:t>
            </w:r>
            <w:r>
              <w:rPr>
                <w:rFonts w:ascii="Times New Roman" w:cs="Times New Roman" w:hAnsiTheme="minorEastAsia"/>
                <w:szCs w:val="21"/>
              </w:rPr>
              <w:t>是由珠海恺瑞生物</w:t>
            </w:r>
            <w:r>
              <w:rPr>
                <w:rFonts w:hint="eastAsia" w:ascii="Times New Roman" w:cs="Times New Roman" w:hAnsiTheme="minorEastAsia"/>
                <w:szCs w:val="21"/>
              </w:rPr>
              <w:t>科技</w:t>
            </w:r>
            <w:r>
              <w:rPr>
                <w:rFonts w:ascii="Times New Roman" w:cs="Times New Roman" w:hAnsiTheme="minorEastAsia"/>
                <w:szCs w:val="21"/>
              </w:rPr>
              <w:t>有限公司自主研发生产的</w:t>
            </w:r>
            <w:r>
              <w:rPr>
                <w:rFonts w:hint="eastAsia" w:ascii="Times New Roman" w:cs="Times New Roman" w:hAnsiTheme="minorEastAsia"/>
                <w:szCs w:val="21"/>
              </w:rPr>
              <w:t>化学限定</w:t>
            </w:r>
            <w:r>
              <w:rPr>
                <w:rFonts w:ascii="Times New Roman" w:cs="Times New Roman" w:hAnsiTheme="minorEastAsia"/>
                <w:szCs w:val="21"/>
              </w:rPr>
              <w:t>高密度无血清培养液。该培养液适用于人胚肾上皮</w:t>
            </w:r>
            <w:r>
              <w:rPr>
                <w:rFonts w:ascii="Times New Roman" w:hAnsi="Times New Roman" w:cs="Times New Roman"/>
                <w:szCs w:val="21"/>
                <w:shd w:val="clear" w:color="auto" w:fill="FFFFFF"/>
              </w:rPr>
              <w:t xml:space="preserve"> ( human embryo kidney 293, HEK293)</w:t>
            </w:r>
            <w:r>
              <w:rPr>
                <w:rFonts w:ascii="Times New Roman" w:cs="Times New Roman" w:hAnsiTheme="minorEastAsia"/>
                <w:szCs w:val="21"/>
                <w:shd w:val="clear" w:color="auto" w:fill="FFFFFF"/>
              </w:rPr>
              <w:t>细胞</w:t>
            </w:r>
            <w:r>
              <w:rPr>
                <w:rFonts w:ascii="Times New Roman" w:cs="Times New Roman" w:hAnsiTheme="minorEastAsia"/>
                <w:szCs w:val="21"/>
              </w:rPr>
              <w:t>的悬浮生长和重组蛋白质的表达。培养液使用时无需添加任何生长因子等添加物，悬浮培养可支撑的细胞密度约为</w:t>
            </w:r>
            <w:r>
              <w:rPr>
                <w:rFonts w:ascii="Times New Roman" w:hAnsi="Times New Roman" w:cs="Times New Roman"/>
                <w:szCs w:val="21"/>
              </w:rPr>
              <w:t>10-12</w:t>
            </w:r>
            <w:r>
              <w:rPr>
                <w:rFonts w:hAnsi="Times New Roman"/>
              </w:rPr>
              <w:t>×10</w:t>
            </w:r>
            <w:r>
              <w:rPr>
                <w:rFonts w:hint="eastAsia" w:ascii="Times New Roman" w:cs="Times New Roman" w:hAnsiTheme="minorEastAsia"/>
                <w:szCs w:val="24"/>
                <w:vertAlign w:val="superscript"/>
              </w:rPr>
              <w:t>6</w:t>
            </w:r>
            <w:r>
              <w:rPr>
                <w:rFonts w:hint="eastAsia" w:hAnsi="Times New Roman"/>
              </w:rPr>
              <w:t xml:space="preserve"> cells</w:t>
            </w:r>
            <w:r>
              <w:rPr>
                <w:rFonts w:hAnsi="Times New Roman"/>
              </w:rPr>
              <w:t>/</w:t>
            </w:r>
            <w:r>
              <w:rPr>
                <w:rFonts w:hint="eastAsia" w:hAnsi="Times New Roman"/>
              </w:rPr>
              <w:t>ml</w:t>
            </w:r>
            <w:r>
              <w:rPr>
                <w:rFonts w:ascii="Times New Roman" w:cs="Times New Roman" w:hAnsiTheme="minorEastAsia"/>
                <w:szCs w:val="21"/>
              </w:rPr>
              <w:t>。</w:t>
            </w:r>
          </w:p>
        </w:tc>
      </w:tr>
      <w:tr>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384" w:type="dxa"/>
            <w:tcBorders>
              <w:top w:val="single" w:color="4F81BD" w:themeColor="accent1" w:sz="8" w:space="0"/>
              <w:bottom w:val="single" w:color="4F81BD" w:themeColor="accent1" w:sz="8" w:space="0"/>
              <w:right w:val="single" w:color="4F81BD" w:themeColor="accent1" w:sz="8" w:space="0"/>
            </w:tcBorders>
            <w:vAlign w:val="center"/>
          </w:tcPr>
          <w:p>
            <w:pPr>
              <w:ind w:firstLine="0" w:firstLineChars="0"/>
              <w:rPr>
                <w:rFonts w:ascii="Times New Roman" w:hAnsi="Times New Roman" w:cs="Times New Roman"/>
                <w:b/>
                <w:szCs w:val="24"/>
              </w:rPr>
            </w:pPr>
            <w:r>
              <w:rPr>
                <w:rFonts w:ascii="Times New Roman" w:hAnsi="Times New Roman" w:cs="Times New Roman"/>
                <w:b/>
                <w:szCs w:val="24"/>
              </w:rPr>
              <w:t>KPM</w:t>
            </w:r>
          </w:p>
        </w:tc>
        <w:tc>
          <w:tcPr>
            <w:tcW w:w="8578" w:type="dxa"/>
            <w:tcBorders>
              <w:top w:val="single" w:color="4F81BD" w:themeColor="accent1" w:sz="8" w:space="0"/>
              <w:left w:val="single" w:color="4F81BD" w:themeColor="accent1" w:sz="8" w:space="0"/>
              <w:bottom w:val="single" w:color="4F81BD" w:themeColor="accent1" w:sz="8" w:space="0"/>
            </w:tcBorders>
            <w:vAlign w:val="center"/>
          </w:tcPr>
          <w:p>
            <w:pPr>
              <w:ind w:firstLine="0" w:firstLineChars="0"/>
              <w:rPr>
                <w:rFonts w:ascii="Times New Roman" w:hAnsi="Times New Roman" w:cs="Times New Roman"/>
                <w:szCs w:val="21"/>
              </w:rPr>
            </w:pPr>
            <w:r>
              <w:rPr>
                <w:rFonts w:ascii="Times New Roman" w:hAnsi="Times New Roman" w:cs="Times New Roman"/>
                <w:szCs w:val="21"/>
              </w:rPr>
              <w:t>KPM</w:t>
            </w:r>
            <w:r>
              <w:rPr>
                <w:rFonts w:ascii="Times New Roman" w:cs="Times New Roman" w:hAnsiTheme="minorEastAsia"/>
                <w:szCs w:val="21"/>
              </w:rPr>
              <w:t>是一种转染缓冲</w:t>
            </w:r>
            <w:r>
              <w:rPr>
                <w:rFonts w:hint="eastAsia" w:ascii="Times New Roman" w:cs="Times New Roman" w:hAnsiTheme="minorEastAsia"/>
                <w:szCs w:val="21"/>
              </w:rPr>
              <w:t>溶液</w:t>
            </w:r>
            <w:r>
              <w:rPr>
                <w:rFonts w:ascii="Times New Roman" w:cs="Times New Roman" w:hAnsiTheme="minorEastAsia"/>
                <w:szCs w:val="21"/>
              </w:rPr>
              <w:t>，为质粒</w:t>
            </w:r>
            <w:r>
              <w:rPr>
                <w:rFonts w:ascii="Times New Roman" w:hAnsi="Times New Roman" w:cs="Times New Roman"/>
                <w:szCs w:val="21"/>
              </w:rPr>
              <w:t>-</w:t>
            </w:r>
            <w:r>
              <w:rPr>
                <w:rFonts w:ascii="Times New Roman" w:cs="Times New Roman" w:hAnsiTheme="minorEastAsia"/>
                <w:szCs w:val="21"/>
              </w:rPr>
              <w:t>转染试剂复合物的形成提供稳定的环境，适用于</w:t>
            </w:r>
            <w:r>
              <w:rPr>
                <w:rFonts w:ascii="Times New Roman" w:hAnsi="Times New Roman" w:cs="Times New Roman"/>
                <w:szCs w:val="21"/>
              </w:rPr>
              <w:t>CHO</w:t>
            </w:r>
            <w:r>
              <w:rPr>
                <w:rFonts w:ascii="Times New Roman" w:cs="Times New Roman" w:hAnsiTheme="minorEastAsia"/>
                <w:szCs w:val="21"/>
              </w:rPr>
              <w:t>细胞和</w:t>
            </w:r>
            <w:r>
              <w:rPr>
                <w:rFonts w:ascii="Times New Roman" w:hAnsi="Times New Roman" w:cs="Times New Roman"/>
                <w:szCs w:val="21"/>
              </w:rPr>
              <w:t>293</w:t>
            </w:r>
            <w:r>
              <w:rPr>
                <w:rFonts w:ascii="Times New Roman" w:cs="Times New Roman" w:hAnsiTheme="minorEastAsia"/>
                <w:szCs w:val="21"/>
              </w:rPr>
              <w:t>细胞高密度转染和蛋白表达。产品转染时使用量为细胞悬液的</w:t>
            </w:r>
            <w:r>
              <w:rPr>
                <w:rFonts w:ascii="Times New Roman" w:hAnsi="Times New Roman" w:cs="Times New Roman"/>
                <w:szCs w:val="21"/>
              </w:rPr>
              <w:t>1/10</w:t>
            </w:r>
            <w:r>
              <w:rPr>
                <w:rFonts w:ascii="Times New Roman" w:cs="Times New Roman" w:hAnsiTheme="minorEastAsia"/>
                <w:szCs w:val="21"/>
              </w:rPr>
              <w:t>。</w:t>
            </w:r>
          </w:p>
        </w:tc>
      </w:tr>
      <w:tr>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384" w:type="dxa"/>
            <w:tcBorders>
              <w:top w:val="single" w:color="4F81BD" w:themeColor="accent1" w:sz="8" w:space="0"/>
              <w:bottom w:val="single" w:color="4F81BD" w:themeColor="accent1" w:sz="8" w:space="0"/>
              <w:right w:val="single" w:color="4F81BD" w:themeColor="accent1" w:sz="8" w:space="0"/>
            </w:tcBorders>
            <w:vAlign w:val="center"/>
          </w:tcPr>
          <w:p>
            <w:pPr>
              <w:ind w:firstLine="0" w:firstLineChars="0"/>
              <w:rPr>
                <w:rFonts w:ascii="Times New Roman" w:hAnsi="Times New Roman" w:cs="Times New Roman"/>
                <w:b/>
                <w:szCs w:val="24"/>
              </w:rPr>
            </w:pPr>
            <w:r>
              <w:rPr>
                <w:rFonts w:ascii="Times New Roman" w:hAnsi="Times New Roman" w:cs="Times New Roman"/>
                <w:b/>
                <w:szCs w:val="24"/>
              </w:rPr>
              <w:t>TA-293</w:t>
            </w:r>
          </w:p>
        </w:tc>
        <w:tc>
          <w:tcPr>
            <w:tcW w:w="8578" w:type="dxa"/>
            <w:tcBorders>
              <w:top w:val="single" w:color="4F81BD" w:themeColor="accent1" w:sz="8" w:space="0"/>
              <w:left w:val="single" w:color="4F81BD" w:themeColor="accent1" w:sz="8" w:space="0"/>
              <w:bottom w:val="single" w:color="4F81BD" w:themeColor="accent1" w:sz="8" w:space="0"/>
            </w:tcBorders>
            <w:vAlign w:val="center"/>
          </w:tcPr>
          <w:p>
            <w:pPr>
              <w:ind w:firstLine="0" w:firstLineChars="0"/>
              <w:rPr>
                <w:rFonts w:ascii="Times New Roman" w:hAnsi="Times New Roman" w:cs="Times New Roman"/>
                <w:szCs w:val="21"/>
              </w:rPr>
            </w:pPr>
            <w:r>
              <w:rPr>
                <w:rFonts w:ascii="Times New Roman" w:hAnsi="Times New Roman" w:cs="Times New Roman"/>
                <w:szCs w:val="21"/>
              </w:rPr>
              <w:t>TA-293</w:t>
            </w:r>
            <w:r>
              <w:rPr>
                <w:rFonts w:ascii="Times New Roman" w:cs="Times New Roman" w:hAnsiTheme="minorEastAsia"/>
                <w:szCs w:val="21"/>
              </w:rPr>
              <w:t>是</w:t>
            </w:r>
            <w:r>
              <w:rPr>
                <w:rFonts w:ascii="Times New Roman" w:hAnsi="Times New Roman" w:cs="Times New Roman"/>
                <w:szCs w:val="21"/>
              </w:rPr>
              <w:t>293</w:t>
            </w:r>
            <w:r>
              <w:rPr>
                <w:rFonts w:ascii="Times New Roman" w:cs="Times New Roman" w:hAnsiTheme="minorEastAsia"/>
                <w:szCs w:val="21"/>
              </w:rPr>
              <w:t>细胞转染试剂，为白色悬浊液，使用时需吹打均匀。可搭配</w:t>
            </w:r>
            <w:r>
              <w:rPr>
                <w:rFonts w:ascii="Times New Roman" w:hAnsi="Times New Roman" w:cs="Times New Roman"/>
                <w:szCs w:val="21"/>
              </w:rPr>
              <w:t>KPM</w:t>
            </w:r>
            <w:r>
              <w:rPr>
                <w:rFonts w:ascii="Times New Roman" w:cs="Times New Roman" w:hAnsiTheme="minorEastAsia"/>
                <w:szCs w:val="21"/>
              </w:rPr>
              <w:t>配制</w:t>
            </w:r>
            <w:r>
              <w:rPr>
                <w:rFonts w:ascii="Times New Roman" w:hAnsi="Times New Roman" w:cs="Times New Roman"/>
                <w:szCs w:val="21"/>
              </w:rPr>
              <w:t>DNA</w:t>
            </w:r>
            <w:r>
              <w:rPr>
                <w:rFonts w:ascii="Times New Roman" w:cs="Times New Roman" w:hAnsiTheme="minorEastAsia"/>
                <w:szCs w:val="21"/>
              </w:rPr>
              <w:t>质粒</w:t>
            </w:r>
            <w:r>
              <w:rPr>
                <w:rFonts w:ascii="Times New Roman" w:hAnsi="Times New Roman" w:cs="Times New Roman"/>
                <w:szCs w:val="21"/>
              </w:rPr>
              <w:t>-</w:t>
            </w:r>
            <w:r>
              <w:rPr>
                <w:rFonts w:ascii="Times New Roman" w:cs="Times New Roman" w:hAnsiTheme="minorEastAsia"/>
                <w:szCs w:val="21"/>
              </w:rPr>
              <w:t>转染试剂复合物，在大规模、高密度</w:t>
            </w:r>
            <w:r>
              <w:rPr>
                <w:rFonts w:ascii="Times New Roman" w:hAnsi="Times New Roman" w:cs="Times New Roman"/>
                <w:szCs w:val="21"/>
              </w:rPr>
              <w:t>293</w:t>
            </w:r>
            <w:r>
              <w:rPr>
                <w:rFonts w:ascii="Times New Roman" w:cs="Times New Roman" w:hAnsiTheme="minorEastAsia"/>
                <w:szCs w:val="21"/>
              </w:rPr>
              <w:t>细胞转染条件下表现出良好的转染效果。</w:t>
            </w:r>
          </w:p>
        </w:tc>
      </w:tr>
      <w:tr>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384" w:type="dxa"/>
            <w:tcBorders>
              <w:top w:val="single" w:color="4F81BD" w:themeColor="accent1" w:sz="8" w:space="0"/>
              <w:bottom w:val="single" w:color="4F81BD" w:themeColor="accent1" w:sz="8" w:space="0"/>
              <w:right w:val="single" w:color="4F81BD" w:themeColor="accent1" w:sz="8" w:space="0"/>
            </w:tcBorders>
            <w:vAlign w:val="center"/>
          </w:tcPr>
          <w:p>
            <w:pPr>
              <w:ind w:firstLine="0" w:firstLineChars="0"/>
              <w:rPr>
                <w:rFonts w:ascii="Times New Roman" w:hAnsi="Times New Roman" w:cs="Times New Roman"/>
                <w:b/>
                <w:szCs w:val="24"/>
              </w:rPr>
            </w:pPr>
            <w:r>
              <w:rPr>
                <w:rFonts w:ascii="Times New Roman" w:hAnsi="Times New Roman" w:cs="Times New Roman"/>
                <w:b/>
                <w:szCs w:val="24"/>
              </w:rPr>
              <w:t>KE-293</w:t>
            </w:r>
          </w:p>
        </w:tc>
        <w:tc>
          <w:tcPr>
            <w:tcW w:w="8578" w:type="dxa"/>
            <w:tcBorders>
              <w:top w:val="single" w:color="4F81BD" w:themeColor="accent1" w:sz="8" w:space="0"/>
              <w:left w:val="single" w:color="4F81BD" w:themeColor="accent1" w:sz="8" w:space="0"/>
              <w:bottom w:val="single" w:color="4F81BD" w:themeColor="accent1" w:sz="8" w:space="0"/>
            </w:tcBorders>
            <w:vAlign w:val="center"/>
          </w:tcPr>
          <w:p>
            <w:pPr>
              <w:ind w:firstLine="0" w:firstLineChars="0"/>
              <w:rPr>
                <w:rFonts w:ascii="Times New Roman" w:hAnsi="Times New Roman" w:cs="Times New Roman"/>
                <w:szCs w:val="21"/>
              </w:rPr>
            </w:pPr>
            <w:r>
              <w:rPr>
                <w:rFonts w:ascii="Times New Roman" w:hAnsi="Times New Roman" w:cs="Times New Roman"/>
                <w:szCs w:val="21"/>
              </w:rPr>
              <w:t>KE-293</w:t>
            </w:r>
            <w:r>
              <w:rPr>
                <w:rFonts w:ascii="Times New Roman" w:cs="Times New Roman" w:hAnsiTheme="minorEastAsia"/>
                <w:szCs w:val="21"/>
              </w:rPr>
              <w:t>是由珠海恺瑞生物自主研发的</w:t>
            </w:r>
            <w:r>
              <w:rPr>
                <w:rFonts w:ascii="Times New Roman" w:hAnsi="Times New Roman" w:cs="Times New Roman"/>
                <w:szCs w:val="21"/>
              </w:rPr>
              <w:t>293</w:t>
            </w:r>
            <w:r>
              <w:rPr>
                <w:rFonts w:ascii="Times New Roman" w:cs="Times New Roman" w:hAnsiTheme="minorEastAsia"/>
                <w:szCs w:val="21"/>
              </w:rPr>
              <w:t>细胞蛋白表达增强剂</w:t>
            </w:r>
            <w:r>
              <w:rPr>
                <w:rFonts w:hint="eastAsia" w:ascii="Times New Roman" w:hAnsi="Times New Roman" w:cs="Times New Roman"/>
                <w:szCs w:val="21"/>
              </w:rPr>
              <w:t>，</w:t>
            </w:r>
            <w:r>
              <w:rPr>
                <w:rFonts w:ascii="Times New Roman" w:cs="Times New Roman" w:hAnsiTheme="minorEastAsia"/>
                <w:szCs w:val="21"/>
              </w:rPr>
              <w:t>与</w:t>
            </w:r>
            <w:r>
              <w:rPr>
                <w:rFonts w:ascii="Times New Roman" w:hAnsi="Times New Roman" w:cs="Times New Roman"/>
                <w:szCs w:val="21"/>
              </w:rPr>
              <w:t>KOP293</w:t>
            </w:r>
            <w:r>
              <w:rPr>
                <w:rFonts w:ascii="Times New Roman" w:cs="Times New Roman" w:hAnsiTheme="minorEastAsia"/>
                <w:szCs w:val="21"/>
              </w:rPr>
              <w:t>高密度无血清培养液配合使用可</w:t>
            </w:r>
            <w:r>
              <w:rPr>
                <w:rFonts w:hint="eastAsia" w:ascii="Times New Roman" w:cs="Times New Roman" w:hAnsiTheme="minorEastAsia"/>
                <w:szCs w:val="21"/>
              </w:rPr>
              <w:t>适当</w:t>
            </w:r>
            <w:r>
              <w:rPr>
                <w:rFonts w:ascii="Times New Roman" w:cs="Times New Roman" w:hAnsiTheme="minorEastAsia"/>
                <w:szCs w:val="21"/>
              </w:rPr>
              <w:t>提高重组蛋白的表达量。</w:t>
            </w:r>
          </w:p>
        </w:tc>
      </w:tr>
      <w:tr>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384" w:type="dxa"/>
            <w:tcBorders>
              <w:top w:val="single" w:color="4F81BD" w:themeColor="accent1" w:sz="8" w:space="0"/>
              <w:bottom w:val="single" w:color="4F81BD" w:themeColor="accent1" w:sz="12" w:space="0"/>
              <w:right w:val="single" w:color="4F81BD" w:themeColor="accent1" w:sz="8" w:space="0"/>
            </w:tcBorders>
            <w:vAlign w:val="center"/>
          </w:tcPr>
          <w:p>
            <w:pPr>
              <w:ind w:firstLine="0" w:firstLineChars="0"/>
              <w:rPr>
                <w:rFonts w:ascii="Times New Roman" w:hAnsi="Times New Roman" w:cs="Times New Roman"/>
                <w:b/>
                <w:szCs w:val="24"/>
              </w:rPr>
            </w:pPr>
            <w:r>
              <w:rPr>
                <w:rFonts w:ascii="Times New Roman" w:hAnsi="Times New Roman" w:cs="Times New Roman"/>
                <w:b/>
                <w:szCs w:val="24"/>
              </w:rPr>
              <w:t>KT-Feed</w:t>
            </w:r>
          </w:p>
        </w:tc>
        <w:tc>
          <w:tcPr>
            <w:tcW w:w="8578" w:type="dxa"/>
            <w:tcBorders>
              <w:top w:val="single" w:color="4F81BD" w:themeColor="accent1" w:sz="8" w:space="0"/>
              <w:left w:val="single" w:color="4F81BD" w:themeColor="accent1" w:sz="8" w:space="0"/>
              <w:bottom w:val="single" w:color="4F81BD" w:themeColor="accent1" w:sz="12" w:space="0"/>
            </w:tcBorders>
            <w:vAlign w:val="center"/>
          </w:tcPr>
          <w:p>
            <w:pPr>
              <w:ind w:firstLine="0" w:firstLineChars="0"/>
              <w:rPr>
                <w:rFonts w:ascii="Times New Roman" w:hAnsi="Times New Roman" w:cs="Times New Roman"/>
                <w:szCs w:val="21"/>
              </w:rPr>
            </w:pPr>
            <w:r>
              <w:rPr>
                <w:rFonts w:ascii="Times New Roman" w:hAnsi="Times New Roman" w:cs="Times New Roman"/>
                <w:szCs w:val="21"/>
              </w:rPr>
              <w:t>KT-Feed</w:t>
            </w:r>
            <w:r>
              <w:rPr>
                <w:rFonts w:hint="eastAsia" w:ascii="Times New Roman" w:hAnsi="Times New Roman" w:cs="Times New Roman"/>
                <w:szCs w:val="21"/>
              </w:rPr>
              <w:t>是</w:t>
            </w:r>
            <w:r>
              <w:rPr>
                <w:rFonts w:hint="eastAsia" w:ascii="Times New Roman" w:cs="Times New Roman" w:hAnsiTheme="minorEastAsia"/>
                <w:szCs w:val="21"/>
              </w:rPr>
              <w:t>富含蛋白胨的植</w:t>
            </w:r>
            <w:r>
              <w:rPr>
                <w:rFonts w:ascii="Times New Roman" w:cs="Times New Roman" w:hAnsiTheme="minorEastAsia"/>
                <w:szCs w:val="21"/>
              </w:rPr>
              <w:t>物水解物，瞬时转染</w:t>
            </w:r>
            <w:r>
              <w:rPr>
                <w:rFonts w:ascii="Times New Roman" w:hAnsi="Times New Roman" w:cs="Times New Roman"/>
                <w:szCs w:val="21"/>
              </w:rPr>
              <w:t>24</w:t>
            </w:r>
            <w:r>
              <w:rPr>
                <w:rFonts w:ascii="Times New Roman" w:cs="Times New Roman" w:hAnsiTheme="minorEastAsia"/>
                <w:szCs w:val="21"/>
              </w:rPr>
              <w:t>小时后添加</w:t>
            </w:r>
            <w:r>
              <w:rPr>
                <w:rFonts w:hint="eastAsia" w:ascii="Times New Roman" w:cs="Times New Roman" w:hAnsiTheme="minorEastAsia"/>
                <w:szCs w:val="21"/>
              </w:rPr>
              <w:t>通常可</w:t>
            </w:r>
            <w:r>
              <w:rPr>
                <w:rFonts w:ascii="Times New Roman" w:cs="Times New Roman" w:hAnsiTheme="minorEastAsia"/>
                <w:szCs w:val="21"/>
              </w:rPr>
              <w:t>提高蛋白表达，和</w:t>
            </w:r>
            <w:r>
              <w:rPr>
                <w:rFonts w:ascii="Times New Roman" w:hAnsi="Times New Roman" w:cs="Times New Roman"/>
                <w:szCs w:val="21"/>
              </w:rPr>
              <w:t>KOP293</w:t>
            </w:r>
            <w:r>
              <w:rPr>
                <w:rFonts w:ascii="Times New Roman" w:cs="Times New Roman" w:hAnsiTheme="minorEastAsia"/>
                <w:szCs w:val="21"/>
              </w:rPr>
              <w:t>培养液联合使用效果更佳。</w:t>
            </w:r>
          </w:p>
        </w:tc>
      </w:tr>
    </w:tbl>
    <w:p>
      <w:pPr>
        <w:spacing w:line="324" w:lineRule="auto"/>
        <w:ind w:firstLine="480"/>
        <w:rPr>
          <w:rFonts w:ascii="Times New Roman" w:hAnsi="Times New Roman" w:cs="Times New Roman"/>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709" w:footer="709"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935744"/>
    </w:sdtPr>
    <w:sdtContent>
      <w:sdt>
        <w:sdtPr>
          <w:id w:val="860082579"/>
        </w:sdtPr>
        <w:sdtContent>
          <w:p>
            <w:pPr>
              <w:pStyle w:val="5"/>
              <w:ind w:firstLine="360"/>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5"/>
      <w:ind w:firstLine="360"/>
    </w:pPr>
    <w:r>
      <w:t>www.kairuibiotech.com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both"/>
    </w:pPr>
    <w:r>
      <w:rPr>
        <w:rFonts w:hint="eastAsia"/>
      </w:rPr>
      <w:drawing>
        <wp:inline distT="0" distB="0" distL="114300" distR="114300">
          <wp:extent cx="1041400" cy="359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1880" cy="373539"/>
                  </a:xfrm>
                  <a:prstGeom prst="rect">
                    <a:avLst/>
                  </a:prstGeom>
                </pic:spPr>
              </pic:pic>
            </a:graphicData>
          </a:graphic>
        </wp:inline>
      </w:drawing>
    </w:r>
    <w:r>
      <w:rPr>
        <w:rFonts w:hint="eastAsia"/>
      </w:rPr>
      <w:t xml:space="preserve">                          </w:t>
    </w:r>
    <w:r>
      <w:t xml:space="preserve">                                               T</w:t>
    </w:r>
    <w:r>
      <w:rPr>
        <w:rFonts w:hint="eastAsia"/>
      </w:rPr>
      <w:t>el： 0756-363118</w:t>
    </w:r>
    <w:r>
      <w:t>6</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101AF"/>
    <w:multiLevelType w:val="multilevel"/>
    <w:tmpl w:val="9E7101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CA254B3"/>
    <w:multiLevelType w:val="singleLevel"/>
    <w:tmpl w:val="CCA254B3"/>
    <w:lvl w:ilvl="0" w:tentative="0">
      <w:start w:val="1"/>
      <w:numFmt w:val="decimal"/>
      <w:suff w:val="space"/>
      <w:lvlText w:val="（%1）"/>
      <w:lvlJc w:val="left"/>
    </w:lvl>
  </w:abstractNum>
  <w:abstractNum w:abstractNumId="2">
    <w:nsid w:val="141927C9"/>
    <w:multiLevelType w:val="multilevel"/>
    <w:tmpl w:val="141927C9"/>
    <w:lvl w:ilvl="0" w:tentative="0">
      <w:start w:val="1"/>
      <w:numFmt w:val="lowerLetter"/>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CFC8F5"/>
    <w:multiLevelType w:val="singleLevel"/>
    <w:tmpl w:val="1FCFC8F5"/>
    <w:lvl w:ilvl="0" w:tentative="0">
      <w:start w:val="1"/>
      <w:numFmt w:val="decimal"/>
      <w:lvlText w:val="(%1)"/>
      <w:lvlJc w:val="left"/>
      <w:pPr>
        <w:ind w:left="425" w:hanging="425"/>
      </w:pPr>
      <w:rPr>
        <w:rFonts w:hint="default"/>
      </w:rPr>
    </w:lvl>
  </w:abstractNum>
  <w:abstractNum w:abstractNumId="4">
    <w:nsid w:val="206E648D"/>
    <w:multiLevelType w:val="multilevel"/>
    <w:tmpl w:val="206E648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2281653"/>
    <w:multiLevelType w:val="multilevel"/>
    <w:tmpl w:val="22281653"/>
    <w:lvl w:ilvl="0" w:tentative="0">
      <w:start w:val="1"/>
      <w:numFmt w:val="lowerLetter"/>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4B69A4"/>
    <w:multiLevelType w:val="multilevel"/>
    <w:tmpl w:val="304B69A4"/>
    <w:lvl w:ilvl="0" w:tentative="0">
      <w:start w:val="1"/>
      <w:numFmt w:val="lowerLetter"/>
      <w:lvlText w:val="%1."/>
      <w:lvlJc w:val="left"/>
      <w:pPr>
        <w:ind w:left="360" w:hanging="36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F9202E"/>
    <w:multiLevelType w:val="multilevel"/>
    <w:tmpl w:val="33F920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127B34"/>
    <w:multiLevelType w:val="multilevel"/>
    <w:tmpl w:val="3E127B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B03DED"/>
    <w:multiLevelType w:val="multilevel"/>
    <w:tmpl w:val="50B03D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A6360E"/>
    <w:multiLevelType w:val="multilevel"/>
    <w:tmpl w:val="6EA6360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6D6C1D"/>
    <w:multiLevelType w:val="multilevel"/>
    <w:tmpl w:val="756D6C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4"/>
  </w:num>
  <w:num w:numId="4">
    <w:abstractNumId w:val="1"/>
  </w:num>
  <w:num w:numId="5">
    <w:abstractNumId w:val="7"/>
  </w:num>
  <w:num w:numId="6">
    <w:abstractNumId w:val="2"/>
  </w:num>
  <w:num w:numId="7">
    <w:abstractNumId w:val="11"/>
  </w:num>
  <w:num w:numId="8">
    <w:abstractNumId w:val="0"/>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ZmQzNmZmMmJjODY2M2YxOWRjMjU0YjAwMmY0MzgifQ=="/>
  </w:docVars>
  <w:rsids>
    <w:rsidRoot w:val="00172A27"/>
    <w:rsid w:val="000150C2"/>
    <w:rsid w:val="0001556D"/>
    <w:rsid w:val="0001689B"/>
    <w:rsid w:val="00017DE1"/>
    <w:rsid w:val="00022D67"/>
    <w:rsid w:val="00036FA4"/>
    <w:rsid w:val="00037346"/>
    <w:rsid w:val="00073698"/>
    <w:rsid w:val="00075E9A"/>
    <w:rsid w:val="00082D94"/>
    <w:rsid w:val="00085D44"/>
    <w:rsid w:val="00094499"/>
    <w:rsid w:val="000A3438"/>
    <w:rsid w:val="000A4079"/>
    <w:rsid w:val="000A51A5"/>
    <w:rsid w:val="000B07FF"/>
    <w:rsid w:val="000B1CB9"/>
    <w:rsid w:val="000C0BB9"/>
    <w:rsid w:val="000D50AE"/>
    <w:rsid w:val="000E4133"/>
    <w:rsid w:val="000E4A54"/>
    <w:rsid w:val="000F10BD"/>
    <w:rsid w:val="000F7EEE"/>
    <w:rsid w:val="00112F08"/>
    <w:rsid w:val="00114804"/>
    <w:rsid w:val="00122071"/>
    <w:rsid w:val="00123A88"/>
    <w:rsid w:val="00140CA3"/>
    <w:rsid w:val="00164D49"/>
    <w:rsid w:val="001654D7"/>
    <w:rsid w:val="00172A27"/>
    <w:rsid w:val="00185A65"/>
    <w:rsid w:val="00187BE6"/>
    <w:rsid w:val="00192394"/>
    <w:rsid w:val="00196D1C"/>
    <w:rsid w:val="001A11EB"/>
    <w:rsid w:val="001C30D1"/>
    <w:rsid w:val="001F1070"/>
    <w:rsid w:val="001F58DF"/>
    <w:rsid w:val="00220CC6"/>
    <w:rsid w:val="00223559"/>
    <w:rsid w:val="00226BC4"/>
    <w:rsid w:val="002301CC"/>
    <w:rsid w:val="0023763F"/>
    <w:rsid w:val="00251B9B"/>
    <w:rsid w:val="00255691"/>
    <w:rsid w:val="00256ECD"/>
    <w:rsid w:val="00262A74"/>
    <w:rsid w:val="00265737"/>
    <w:rsid w:val="00276768"/>
    <w:rsid w:val="00282B68"/>
    <w:rsid w:val="002A7BAB"/>
    <w:rsid w:val="002B4F44"/>
    <w:rsid w:val="002C63AC"/>
    <w:rsid w:val="002D0361"/>
    <w:rsid w:val="002E0899"/>
    <w:rsid w:val="002E1FE8"/>
    <w:rsid w:val="002F34A9"/>
    <w:rsid w:val="003022B0"/>
    <w:rsid w:val="00312506"/>
    <w:rsid w:val="00327075"/>
    <w:rsid w:val="00344EB9"/>
    <w:rsid w:val="00345565"/>
    <w:rsid w:val="0037214E"/>
    <w:rsid w:val="00381873"/>
    <w:rsid w:val="00392655"/>
    <w:rsid w:val="003E6453"/>
    <w:rsid w:val="00401EAA"/>
    <w:rsid w:val="00405223"/>
    <w:rsid w:val="004104FE"/>
    <w:rsid w:val="00412F9B"/>
    <w:rsid w:val="004143BA"/>
    <w:rsid w:val="0042038F"/>
    <w:rsid w:val="0042359D"/>
    <w:rsid w:val="00437009"/>
    <w:rsid w:val="004616B1"/>
    <w:rsid w:val="00467340"/>
    <w:rsid w:val="0047388B"/>
    <w:rsid w:val="004741DD"/>
    <w:rsid w:val="0047615E"/>
    <w:rsid w:val="00482C59"/>
    <w:rsid w:val="00486170"/>
    <w:rsid w:val="004A1F77"/>
    <w:rsid w:val="004C5807"/>
    <w:rsid w:val="004D66F6"/>
    <w:rsid w:val="004E7EE9"/>
    <w:rsid w:val="004F0135"/>
    <w:rsid w:val="00511D9B"/>
    <w:rsid w:val="00513A98"/>
    <w:rsid w:val="00520929"/>
    <w:rsid w:val="00533160"/>
    <w:rsid w:val="0054006F"/>
    <w:rsid w:val="00554356"/>
    <w:rsid w:val="005567D9"/>
    <w:rsid w:val="00556973"/>
    <w:rsid w:val="00561165"/>
    <w:rsid w:val="00561D4B"/>
    <w:rsid w:val="00567621"/>
    <w:rsid w:val="0058294B"/>
    <w:rsid w:val="00585E50"/>
    <w:rsid w:val="0058637F"/>
    <w:rsid w:val="005A34E2"/>
    <w:rsid w:val="005B1999"/>
    <w:rsid w:val="005D083C"/>
    <w:rsid w:val="005F7FC8"/>
    <w:rsid w:val="00601831"/>
    <w:rsid w:val="00603C46"/>
    <w:rsid w:val="00604D4C"/>
    <w:rsid w:val="00611720"/>
    <w:rsid w:val="00613B71"/>
    <w:rsid w:val="00613FB7"/>
    <w:rsid w:val="00615A4D"/>
    <w:rsid w:val="006170DA"/>
    <w:rsid w:val="00624234"/>
    <w:rsid w:val="00631A4E"/>
    <w:rsid w:val="0064072B"/>
    <w:rsid w:val="006571CB"/>
    <w:rsid w:val="00663E65"/>
    <w:rsid w:val="006666E2"/>
    <w:rsid w:val="006674FD"/>
    <w:rsid w:val="006843D7"/>
    <w:rsid w:val="006A0CA5"/>
    <w:rsid w:val="006B62FF"/>
    <w:rsid w:val="006F4BE1"/>
    <w:rsid w:val="00704AC0"/>
    <w:rsid w:val="00711C1A"/>
    <w:rsid w:val="007253DC"/>
    <w:rsid w:val="0073339B"/>
    <w:rsid w:val="007344DF"/>
    <w:rsid w:val="007437BF"/>
    <w:rsid w:val="00753A33"/>
    <w:rsid w:val="00762A86"/>
    <w:rsid w:val="00763F97"/>
    <w:rsid w:val="00774E00"/>
    <w:rsid w:val="007B77C0"/>
    <w:rsid w:val="007C393F"/>
    <w:rsid w:val="007D62E2"/>
    <w:rsid w:val="007F1FA5"/>
    <w:rsid w:val="007F31A9"/>
    <w:rsid w:val="007F7675"/>
    <w:rsid w:val="008065BB"/>
    <w:rsid w:val="00824570"/>
    <w:rsid w:val="008437AC"/>
    <w:rsid w:val="008557E7"/>
    <w:rsid w:val="00872DA9"/>
    <w:rsid w:val="00872DD5"/>
    <w:rsid w:val="008824C2"/>
    <w:rsid w:val="008926EE"/>
    <w:rsid w:val="008A4D5B"/>
    <w:rsid w:val="008A6132"/>
    <w:rsid w:val="008A6C8D"/>
    <w:rsid w:val="008C789E"/>
    <w:rsid w:val="008D0EA0"/>
    <w:rsid w:val="008D1DDD"/>
    <w:rsid w:val="008D36EF"/>
    <w:rsid w:val="008D3C37"/>
    <w:rsid w:val="00904933"/>
    <w:rsid w:val="0091337C"/>
    <w:rsid w:val="009143D0"/>
    <w:rsid w:val="00923407"/>
    <w:rsid w:val="009263A0"/>
    <w:rsid w:val="00930842"/>
    <w:rsid w:val="00935BD5"/>
    <w:rsid w:val="0095439C"/>
    <w:rsid w:val="009652D9"/>
    <w:rsid w:val="009737C4"/>
    <w:rsid w:val="009811D8"/>
    <w:rsid w:val="009B0E34"/>
    <w:rsid w:val="009B4553"/>
    <w:rsid w:val="009B606B"/>
    <w:rsid w:val="009C1414"/>
    <w:rsid w:val="009C25DC"/>
    <w:rsid w:val="009D1136"/>
    <w:rsid w:val="009E0AF8"/>
    <w:rsid w:val="009E1E71"/>
    <w:rsid w:val="009E507B"/>
    <w:rsid w:val="00A05BDF"/>
    <w:rsid w:val="00A23317"/>
    <w:rsid w:val="00A42711"/>
    <w:rsid w:val="00A47D2B"/>
    <w:rsid w:val="00A53353"/>
    <w:rsid w:val="00A544DD"/>
    <w:rsid w:val="00A55489"/>
    <w:rsid w:val="00A56EA5"/>
    <w:rsid w:val="00A610A6"/>
    <w:rsid w:val="00A74E88"/>
    <w:rsid w:val="00A86F7B"/>
    <w:rsid w:val="00A902B0"/>
    <w:rsid w:val="00A91501"/>
    <w:rsid w:val="00A95BF0"/>
    <w:rsid w:val="00A974CE"/>
    <w:rsid w:val="00AA2209"/>
    <w:rsid w:val="00AA2FAE"/>
    <w:rsid w:val="00AA74CA"/>
    <w:rsid w:val="00AB0614"/>
    <w:rsid w:val="00AB2E29"/>
    <w:rsid w:val="00AB56F4"/>
    <w:rsid w:val="00AD6D99"/>
    <w:rsid w:val="00AE2902"/>
    <w:rsid w:val="00B22F43"/>
    <w:rsid w:val="00B2629B"/>
    <w:rsid w:val="00B319A5"/>
    <w:rsid w:val="00B367B5"/>
    <w:rsid w:val="00B376FF"/>
    <w:rsid w:val="00B44F50"/>
    <w:rsid w:val="00B47AB4"/>
    <w:rsid w:val="00B6031E"/>
    <w:rsid w:val="00B621D1"/>
    <w:rsid w:val="00B70CB2"/>
    <w:rsid w:val="00B714B9"/>
    <w:rsid w:val="00B7244C"/>
    <w:rsid w:val="00B7477C"/>
    <w:rsid w:val="00BA0473"/>
    <w:rsid w:val="00BC6CD0"/>
    <w:rsid w:val="00BD7C01"/>
    <w:rsid w:val="00BF5606"/>
    <w:rsid w:val="00C10506"/>
    <w:rsid w:val="00C21488"/>
    <w:rsid w:val="00C417D6"/>
    <w:rsid w:val="00C422F1"/>
    <w:rsid w:val="00C475ED"/>
    <w:rsid w:val="00C47FED"/>
    <w:rsid w:val="00C56125"/>
    <w:rsid w:val="00C74D5C"/>
    <w:rsid w:val="00C77785"/>
    <w:rsid w:val="00C91438"/>
    <w:rsid w:val="00C953F6"/>
    <w:rsid w:val="00CA0F0F"/>
    <w:rsid w:val="00CB0615"/>
    <w:rsid w:val="00CC0168"/>
    <w:rsid w:val="00CC676C"/>
    <w:rsid w:val="00CD3F54"/>
    <w:rsid w:val="00CD723A"/>
    <w:rsid w:val="00CD7C8E"/>
    <w:rsid w:val="00CE5ECF"/>
    <w:rsid w:val="00CF1309"/>
    <w:rsid w:val="00D02C8A"/>
    <w:rsid w:val="00D36A9C"/>
    <w:rsid w:val="00D549F6"/>
    <w:rsid w:val="00D61AC0"/>
    <w:rsid w:val="00D87D79"/>
    <w:rsid w:val="00DA5A85"/>
    <w:rsid w:val="00DA7806"/>
    <w:rsid w:val="00DB7964"/>
    <w:rsid w:val="00DC400E"/>
    <w:rsid w:val="00DC402E"/>
    <w:rsid w:val="00DE108D"/>
    <w:rsid w:val="00DE26E8"/>
    <w:rsid w:val="00DE2AD0"/>
    <w:rsid w:val="00DE36AA"/>
    <w:rsid w:val="00DE4585"/>
    <w:rsid w:val="00DF31A6"/>
    <w:rsid w:val="00DF3FBC"/>
    <w:rsid w:val="00E26322"/>
    <w:rsid w:val="00E264F9"/>
    <w:rsid w:val="00E50945"/>
    <w:rsid w:val="00E736CC"/>
    <w:rsid w:val="00E73A3E"/>
    <w:rsid w:val="00E7539C"/>
    <w:rsid w:val="00E9672B"/>
    <w:rsid w:val="00E977BF"/>
    <w:rsid w:val="00EA0964"/>
    <w:rsid w:val="00EB70B8"/>
    <w:rsid w:val="00EC1087"/>
    <w:rsid w:val="00ED26C8"/>
    <w:rsid w:val="00ED360B"/>
    <w:rsid w:val="00F01C06"/>
    <w:rsid w:val="00F05603"/>
    <w:rsid w:val="00F06FAB"/>
    <w:rsid w:val="00F0773C"/>
    <w:rsid w:val="00F16114"/>
    <w:rsid w:val="00F32835"/>
    <w:rsid w:val="00F42DDA"/>
    <w:rsid w:val="00F50625"/>
    <w:rsid w:val="00F64F51"/>
    <w:rsid w:val="00F65018"/>
    <w:rsid w:val="00F84477"/>
    <w:rsid w:val="00F937B4"/>
    <w:rsid w:val="00F939F5"/>
    <w:rsid w:val="00FA1603"/>
    <w:rsid w:val="00FB62F1"/>
    <w:rsid w:val="00FC6BA1"/>
    <w:rsid w:val="00FE07F0"/>
    <w:rsid w:val="00FE67DD"/>
    <w:rsid w:val="00FE7D4D"/>
    <w:rsid w:val="02D847A6"/>
    <w:rsid w:val="04345C76"/>
    <w:rsid w:val="04B64F57"/>
    <w:rsid w:val="05C2252A"/>
    <w:rsid w:val="0754626F"/>
    <w:rsid w:val="0B0969CB"/>
    <w:rsid w:val="0B8415DD"/>
    <w:rsid w:val="100E3B10"/>
    <w:rsid w:val="174A36DB"/>
    <w:rsid w:val="18317135"/>
    <w:rsid w:val="18B07452"/>
    <w:rsid w:val="26363279"/>
    <w:rsid w:val="2AFE4323"/>
    <w:rsid w:val="2D606444"/>
    <w:rsid w:val="2F5C199F"/>
    <w:rsid w:val="32D87C5B"/>
    <w:rsid w:val="333D642D"/>
    <w:rsid w:val="33CA3FFF"/>
    <w:rsid w:val="3C25387F"/>
    <w:rsid w:val="3F0C073D"/>
    <w:rsid w:val="3F304D87"/>
    <w:rsid w:val="4CAA0545"/>
    <w:rsid w:val="52D60B25"/>
    <w:rsid w:val="53B25E23"/>
    <w:rsid w:val="5D726059"/>
    <w:rsid w:val="60923940"/>
    <w:rsid w:val="61C87F13"/>
    <w:rsid w:val="63860BC4"/>
    <w:rsid w:val="69D65AA7"/>
    <w:rsid w:val="6B2F36BB"/>
    <w:rsid w:val="6EA2601D"/>
    <w:rsid w:val="6FEB617E"/>
    <w:rsid w:val="7261619B"/>
    <w:rsid w:val="74FA6746"/>
    <w:rsid w:val="758D138E"/>
    <w:rsid w:val="75C67856"/>
    <w:rsid w:val="79C3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00" w:lineRule="auto"/>
      <w:ind w:firstLine="200" w:firstLineChars="200"/>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8"/>
    <w:autoRedefine/>
    <w:qFormat/>
    <w:uiPriority w:val="9"/>
    <w:pPr>
      <w:keepNext/>
      <w:keepLines/>
      <w:outlineLvl w:val="0"/>
    </w:pPr>
    <w:rPr>
      <w:b/>
      <w:bCs/>
      <w:kern w:val="44"/>
      <w:sz w:val="28"/>
      <w:szCs w:val="44"/>
    </w:rPr>
  </w:style>
  <w:style w:type="paragraph" w:styleId="3">
    <w:name w:val="heading 2"/>
    <w:basedOn w:val="1"/>
    <w:next w:val="1"/>
    <w:link w:val="19"/>
    <w:autoRedefine/>
    <w:unhideWhenUsed/>
    <w:qFormat/>
    <w:uiPriority w:val="9"/>
    <w:pPr>
      <w:keepNext/>
      <w:keepLines/>
      <w:spacing w:line="360" w:lineRule="auto"/>
      <w:ind w:firstLine="0" w:firstLineChars="0"/>
      <w:outlineLvl w:val="1"/>
    </w:pPr>
    <w:rPr>
      <w:rFonts w:ascii="宋体" w:hAnsi="宋体" w:eastAsia="宋体" w:cstheme="majorBidi"/>
      <w:b/>
      <w:bCs/>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semiHidden/>
    <w:unhideWhenUsed/>
    <w:qFormat/>
    <w:uiPriority w:val="99"/>
    <w:pPr>
      <w:spacing w:line="240" w:lineRule="auto"/>
    </w:pPr>
    <w:rPr>
      <w:sz w:val="18"/>
      <w:szCs w:val="18"/>
    </w:rPr>
  </w:style>
  <w:style w:type="paragraph" w:styleId="5">
    <w:name w:val="footer"/>
    <w:basedOn w:val="1"/>
    <w:link w:val="16"/>
    <w:autoRedefine/>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7"/>
    <w:autoRedefine/>
    <w:qFormat/>
    <w:uiPriority w:val="10"/>
    <w:pPr>
      <w:jc w:val="center"/>
      <w:outlineLvl w:val="0"/>
    </w:pPr>
    <w:rPr>
      <w:rFonts w:asciiTheme="majorHAnsi" w:hAnsiTheme="majorHAnsi" w:eastAsiaTheme="majorEastAsia" w:cstheme="majorBidi"/>
      <w:b/>
      <w:bCs/>
      <w:sz w:val="32"/>
      <w:szCs w:val="32"/>
    </w:rPr>
  </w:style>
  <w:style w:type="table" w:styleId="9">
    <w:name w:val="Table Grid"/>
    <w:basedOn w:val="8"/>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autoRedefine/>
    <w:qFormat/>
    <w:uiPriority w:val="22"/>
    <w:rPr>
      <w:b/>
    </w:rPr>
  </w:style>
  <w:style w:type="paragraph" w:styleId="12">
    <w:name w:val="List Paragraph"/>
    <w:basedOn w:val="1"/>
    <w:autoRedefine/>
    <w:qFormat/>
    <w:uiPriority w:val="34"/>
    <w:pPr>
      <w:ind w:firstLine="420"/>
    </w:pPr>
  </w:style>
  <w:style w:type="character" w:customStyle="1" w:styleId="13">
    <w:name w:val="批注框文本 字符"/>
    <w:basedOn w:val="10"/>
    <w:link w:val="4"/>
    <w:autoRedefine/>
    <w:semiHidden/>
    <w:qFormat/>
    <w:uiPriority w:val="99"/>
    <w:rPr>
      <w:sz w:val="18"/>
      <w:szCs w:val="18"/>
    </w:rPr>
  </w:style>
  <w:style w:type="paragraph" w:styleId="14">
    <w:name w:val="No Spacing"/>
    <w:autoRedefine/>
    <w:qFormat/>
    <w:uiPriority w:val="1"/>
    <w:pPr>
      <w:adjustRightInd w:val="0"/>
      <w:snapToGrid w:val="0"/>
    </w:pPr>
    <w:rPr>
      <w:rFonts w:ascii="Tahoma" w:hAnsi="Tahoma" w:eastAsiaTheme="minorEastAsia" w:cstheme="minorBidi"/>
      <w:sz w:val="22"/>
      <w:szCs w:val="22"/>
      <w:lang w:val="en-US" w:eastAsia="zh-CN" w:bidi="ar-SA"/>
    </w:rPr>
  </w:style>
  <w:style w:type="character" w:customStyle="1" w:styleId="15">
    <w:name w:val="页眉 字符"/>
    <w:basedOn w:val="10"/>
    <w:link w:val="6"/>
    <w:autoRedefine/>
    <w:qFormat/>
    <w:uiPriority w:val="99"/>
    <w:rPr>
      <w:sz w:val="18"/>
      <w:szCs w:val="18"/>
    </w:rPr>
  </w:style>
  <w:style w:type="character" w:customStyle="1" w:styleId="16">
    <w:name w:val="页脚 字符"/>
    <w:basedOn w:val="10"/>
    <w:link w:val="5"/>
    <w:autoRedefine/>
    <w:qFormat/>
    <w:uiPriority w:val="99"/>
    <w:rPr>
      <w:sz w:val="18"/>
      <w:szCs w:val="18"/>
    </w:rPr>
  </w:style>
  <w:style w:type="character" w:customStyle="1" w:styleId="17">
    <w:name w:val="标题 字符"/>
    <w:basedOn w:val="10"/>
    <w:link w:val="7"/>
    <w:autoRedefine/>
    <w:qFormat/>
    <w:uiPriority w:val="10"/>
    <w:rPr>
      <w:rFonts w:asciiTheme="majorHAnsi" w:hAnsiTheme="majorHAnsi" w:eastAsiaTheme="majorEastAsia" w:cstheme="majorBidi"/>
      <w:b/>
      <w:bCs/>
      <w:kern w:val="2"/>
      <w:sz w:val="32"/>
      <w:szCs w:val="32"/>
    </w:rPr>
  </w:style>
  <w:style w:type="character" w:customStyle="1" w:styleId="18">
    <w:name w:val="标题 1 字符"/>
    <w:basedOn w:val="10"/>
    <w:link w:val="2"/>
    <w:autoRedefine/>
    <w:qFormat/>
    <w:uiPriority w:val="9"/>
    <w:rPr>
      <w:rFonts w:asciiTheme="minorHAnsi" w:hAnsiTheme="minorHAnsi" w:eastAsiaTheme="minorEastAsia" w:cstheme="minorBidi"/>
      <w:b/>
      <w:bCs/>
      <w:kern w:val="44"/>
      <w:sz w:val="28"/>
      <w:szCs w:val="44"/>
    </w:rPr>
  </w:style>
  <w:style w:type="character" w:customStyle="1" w:styleId="19">
    <w:name w:val="标题 2 字符"/>
    <w:basedOn w:val="10"/>
    <w:link w:val="3"/>
    <w:autoRedefine/>
    <w:qFormat/>
    <w:uiPriority w:val="9"/>
    <w:rPr>
      <w:rFonts w:ascii="宋体" w:hAnsi="宋体" w:cstheme="majorBidi"/>
      <w:b/>
      <w:bCs/>
      <w:kern w:val="2"/>
      <w:sz w:val="24"/>
      <w:szCs w:val="32"/>
    </w:rPr>
  </w:style>
  <w:style w:type="paragraph" w:customStyle="1" w:styleId="20">
    <w:name w:val="修订1"/>
    <w:autoRedefine/>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21">
    <w:name w:val="Revision"/>
    <w:autoRedefine/>
    <w:hidden/>
    <w:semiHidden/>
    <w:qFormat/>
    <w:uiPriority w:val="99"/>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24A2B3-9E14-4DB4-9E2B-12CEC485E1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625</Words>
  <Characters>3568</Characters>
  <Lines>29</Lines>
  <Paragraphs>8</Paragraphs>
  <TotalTime>4</TotalTime>
  <ScaleCrop>false</ScaleCrop>
  <LinksUpToDate>false</LinksUpToDate>
  <CharactersWithSpaces>4185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2023-07-14T01:15:00Z</dcterms:created>
  <dc:creator>del</dc:creator>
  <cp:lastModifiedBy>麟柘</cp:lastModifiedBy>
  <cp:lastPrinted>2023-07-14T01:15:00Z</cp:lastPrinted>
  <dcterms:modified xsi:type="dcterms:W3CDTF">2024-03-12T06:17:36Z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1F7A92FF27BE497EA47A6D2C5F652840_13</vt:lpwstr>
  </property>
</Properties>
</file>