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3216F">
      <w:pPr>
        <w:spacing w:line="324" w:lineRule="auto"/>
        <w:ind w:firstLine="602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KOP293瞬时转染蛋白表达系统使用指南</w:t>
      </w:r>
      <w:r>
        <w:rPr>
          <w:rFonts w:hint="eastAsia" w:ascii="Times New Roman" w:hAnsi="Times New Roman" w:cs="Times New Roman"/>
          <w:b/>
          <w:sz w:val="30"/>
          <w:szCs w:val="30"/>
        </w:rPr>
        <w:t>（</w:t>
      </w:r>
      <w:r>
        <w:rPr>
          <w:rFonts w:ascii="Times New Roman" w:hAnsi="Times New Roman" w:cs="Times New Roman"/>
          <w:b/>
          <w:sz w:val="30"/>
          <w:szCs w:val="30"/>
        </w:rPr>
        <w:t>3</w:t>
      </w:r>
      <w:r>
        <w:rPr>
          <w:rFonts w:hint="eastAsia" w:ascii="Times New Roman" w:hAnsi="Times New Roman" w:cs="Times New Roman"/>
          <w:b/>
          <w:sz w:val="30"/>
          <w:szCs w:val="30"/>
        </w:rPr>
        <w:t>.</w:t>
      </w:r>
      <w:r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cs="Times New Roman"/>
          <w:b/>
          <w:sz w:val="30"/>
          <w:szCs w:val="30"/>
        </w:rPr>
        <w:t>版）</w:t>
      </w:r>
    </w:p>
    <w:p w14:paraId="26582007">
      <w:pPr>
        <w:pStyle w:val="2"/>
        <w:numPr>
          <w:ilvl w:val="0"/>
          <w:numId w:val="1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产品概述</w:t>
      </w:r>
    </w:p>
    <w:p w14:paraId="068398DF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本系统适合于</w:t>
      </w:r>
      <w:r>
        <w:rPr>
          <w:rFonts w:hint="default" w:ascii="Times New Roman" w:hAnsi="Times New Roman" w:cs="Times New Roman"/>
        </w:rPr>
        <w:t>HEK293</w:t>
      </w:r>
      <w:r>
        <w:rPr>
          <w:rFonts w:ascii="Times New Roman" w:hAnsi="Times New Roman"/>
        </w:rPr>
        <w:t>细胞</w:t>
      </w:r>
      <w:r>
        <w:rPr>
          <w:rFonts w:hint="eastAsia" w:ascii="Times New Roman" w:hAnsi="Times New Roman"/>
        </w:rPr>
        <w:t>及其它</w:t>
      </w:r>
      <w:r>
        <w:rPr>
          <w:rFonts w:hint="default" w:ascii="Times New Roman" w:hAnsi="Times New Roman" w:cs="Times New Roman"/>
        </w:rPr>
        <w:t>293</w:t>
      </w:r>
      <w:r>
        <w:rPr>
          <w:rFonts w:hint="eastAsia" w:ascii="Times New Roman" w:hAnsi="Times New Roman"/>
        </w:rPr>
        <w:t>细胞</w:t>
      </w:r>
      <w:r>
        <w:rPr>
          <w:rFonts w:ascii="Times New Roman" w:hAnsi="Times New Roman"/>
        </w:rPr>
        <w:t>的高密度悬浮培养、DNA瞬时转染及蛋白表达。</w:t>
      </w:r>
      <w:r>
        <w:rPr>
          <w:rFonts w:hint="eastAsia" w:ascii="Times New Roman" w:hAnsi="Times New Roman"/>
        </w:rPr>
        <w:t>为确保使用效果，建议用户在使用本系统前详细阅读此使用指南。</w:t>
      </w:r>
    </w:p>
    <w:p w14:paraId="68D3072E">
      <w:pPr>
        <w:ind w:firstLine="480"/>
        <w:rPr>
          <w:rFonts w:ascii="Times New Roman" w:hAnsi="Times New Roman"/>
        </w:rPr>
      </w:pPr>
      <w:r>
        <w:rPr>
          <w:rFonts w:hint="eastAsia" w:ascii="Times New Roman" w:hAnsi="Times New Roman"/>
        </w:rPr>
        <w:t>此系统所包含的试剂可在本指南末页附录中查找，用户可根据需要自行搭配使用（使用一整套试剂效果更佳）。</w:t>
      </w:r>
    </w:p>
    <w:p w14:paraId="510EB869">
      <w:pPr>
        <w:ind w:firstLine="0" w:firstLineChars="0"/>
        <w:rPr>
          <w:rFonts w:ascii="Times New Roman" w:hAnsi="Times New Roman"/>
          <w:b/>
          <w:bCs/>
          <w:szCs w:val="24"/>
        </w:rPr>
      </w:pPr>
      <w:r>
        <w:rPr>
          <w:rFonts w:hint="eastAsia" w:ascii="Times New Roman" w:hAnsi="Times New Roman"/>
          <w:b/>
          <w:bCs/>
          <w:szCs w:val="24"/>
        </w:rPr>
        <w:t>细胞培养基使用保存注意事项：</w:t>
      </w:r>
    </w:p>
    <w:p w14:paraId="2BEE1D4F">
      <w:pPr>
        <w:pStyle w:val="12"/>
        <w:numPr>
          <w:ilvl w:val="0"/>
          <w:numId w:val="2"/>
        </w:numPr>
        <w:ind w:left="420" w:leftChars="0" w:hanging="420" w:firstLineChars="0"/>
        <w:rPr>
          <w:rFonts w:ascii="Times New Roman" w:hAnsi="Times New Roman"/>
          <w:b/>
          <w:bCs/>
          <w:szCs w:val="24"/>
        </w:rPr>
      </w:pPr>
      <w:r>
        <w:rPr>
          <w:rFonts w:hint="eastAsia" w:ascii="Times New Roman" w:hAnsi="Times New Roman"/>
          <w:b/>
          <w:bCs/>
          <w:szCs w:val="24"/>
        </w:rPr>
        <w:t>切勿紫外照射；</w:t>
      </w:r>
    </w:p>
    <w:p w14:paraId="0041882C">
      <w:pPr>
        <w:pStyle w:val="12"/>
        <w:numPr>
          <w:ilvl w:val="0"/>
          <w:numId w:val="2"/>
        </w:numPr>
        <w:ind w:left="420" w:leftChars="0" w:hanging="420" w:firstLineChars="0"/>
        <w:rPr>
          <w:rFonts w:ascii="Times New Roman" w:hAnsi="Times New Roman"/>
          <w:b/>
          <w:bCs/>
          <w:szCs w:val="24"/>
        </w:rPr>
      </w:pPr>
      <w:r>
        <w:rPr>
          <w:rFonts w:hint="eastAsia" w:ascii="Times New Roman" w:hAnsi="Times New Roman"/>
          <w:b/>
          <w:bCs/>
          <w:szCs w:val="24"/>
        </w:rPr>
        <w:t>无需预热处理，可直接从冰箱取出使用；</w:t>
      </w:r>
    </w:p>
    <w:p w14:paraId="3C977725">
      <w:pPr>
        <w:pStyle w:val="12"/>
        <w:numPr>
          <w:ilvl w:val="0"/>
          <w:numId w:val="2"/>
        </w:numPr>
        <w:ind w:left="420" w:leftChars="0" w:hanging="420" w:firstLineChars="0"/>
        <w:rPr>
          <w:rFonts w:ascii="Times New Roman" w:hAnsi="Times New Roman"/>
          <w:b/>
          <w:bCs/>
          <w:szCs w:val="24"/>
        </w:rPr>
      </w:pPr>
      <w:r>
        <w:rPr>
          <w:rFonts w:hint="eastAsia" w:ascii="Times New Roman" w:hAnsi="Times New Roman"/>
          <w:b/>
          <w:bCs/>
          <w:szCs w:val="24"/>
        </w:rPr>
        <w:t>储存细胞培养基时尽量使用医用冰箱，以确保恒温效果，切勿冷冻；</w:t>
      </w:r>
    </w:p>
    <w:p w14:paraId="08498CD8">
      <w:pPr>
        <w:pStyle w:val="12"/>
        <w:numPr>
          <w:ilvl w:val="0"/>
          <w:numId w:val="2"/>
        </w:numPr>
        <w:ind w:left="420" w:leftChars="0" w:hanging="420" w:firstLineChars="0"/>
        <w:rPr>
          <w:rFonts w:ascii="Times New Roman" w:hAnsi="Times New Roman"/>
          <w:b/>
          <w:bCs/>
          <w:szCs w:val="24"/>
        </w:rPr>
      </w:pPr>
      <w:r>
        <w:rPr>
          <w:rFonts w:hint="eastAsia" w:ascii="Times New Roman" w:hAnsi="Times New Roman"/>
          <w:b/>
          <w:bCs/>
          <w:szCs w:val="24"/>
        </w:rPr>
        <w:t>定期检查细胞培养基过期日期，并在过期前使用完或更换新的培养基，避免使用过期培养基导致细胞生长异常或失败。</w:t>
      </w:r>
    </w:p>
    <w:p w14:paraId="71BD6515">
      <w:pPr>
        <w:ind w:firstLine="482"/>
        <w:rPr>
          <w:rFonts w:ascii="Times New Roman" w:hAnsi="Times New Roman"/>
          <w:b/>
          <w:bCs/>
        </w:rPr>
      </w:pPr>
    </w:p>
    <w:p w14:paraId="2426DCF3">
      <w:pPr>
        <w:pStyle w:val="2"/>
        <w:numPr>
          <w:ilvl w:val="0"/>
          <w:numId w:val="1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实验步骤</w:t>
      </w:r>
    </w:p>
    <w:p w14:paraId="37FEB4E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本实验方法根据</w:t>
      </w:r>
      <w:r>
        <w:rPr>
          <w:rFonts w:hint="default" w:ascii="Times New Roman" w:hAnsi="Times New Roman" w:cs="Times New Roman"/>
        </w:rPr>
        <w:t>HEK293</w:t>
      </w:r>
      <w:r>
        <w:rPr>
          <w:rFonts w:ascii="Times New Roman" w:hAnsi="Times New Roman"/>
        </w:rPr>
        <w:t>细胞的三角烧瓶悬浮培养经验总结而成，但此蛋白表达系统同时适用于其它悬浮培养方式的293细胞的DNA转染及蛋白表达。</w:t>
      </w:r>
    </w:p>
    <w:p w14:paraId="00601704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2.1转染</w:t>
      </w:r>
      <w:r>
        <w:rPr>
          <w:rFonts w:hint="eastAsia" w:ascii="Times New Roman" w:hAnsi="Times New Roman"/>
        </w:rPr>
        <w:t>前</w:t>
      </w:r>
      <w:r>
        <w:rPr>
          <w:rFonts w:ascii="Times New Roman" w:hAnsi="Times New Roman"/>
        </w:rPr>
        <w:t>细胞</w:t>
      </w:r>
      <w:r>
        <w:rPr>
          <w:rFonts w:hint="eastAsia" w:ascii="Times New Roman" w:hAnsi="Times New Roman"/>
        </w:rPr>
        <w:t>培养</w:t>
      </w:r>
    </w:p>
    <w:p w14:paraId="6D178285">
      <w:pPr>
        <w:pStyle w:val="12"/>
        <w:numPr>
          <w:ilvl w:val="0"/>
          <w:numId w:val="3"/>
        </w:numPr>
        <w:ind w:left="0" w:firstLine="0" w:firstLineChars="0"/>
        <w:rPr>
          <w:rFonts w:ascii="Times New Roman" w:hAnsi="Times New Roman"/>
        </w:rPr>
      </w:pPr>
      <w:r>
        <w:rPr>
          <w:rFonts w:ascii="Times New Roman" w:hAnsi="Times New Roman"/>
        </w:rPr>
        <w:t>将HEK293细胞置于5%的CO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恒温摇床中</w:t>
      </w:r>
      <w:r>
        <w:rPr>
          <w:rFonts w:hint="eastAsia" w:ascii="Times New Roman" w:hAnsi="Times New Roman"/>
        </w:rPr>
        <w:t>（使用其它浓度的CO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可能会严重影响细胞培养效果）</w:t>
      </w:r>
      <w:r>
        <w:rPr>
          <w:rFonts w:ascii="Times New Roman" w:hAnsi="Times New Roman"/>
        </w:rPr>
        <w:t>，37</w:t>
      </w:r>
      <w:r>
        <w:rPr>
          <w:rFonts w:hint="eastAsia" w:ascii="Times New Roman" w:hAnsi="Times New Roman" w:eastAsia="微软雅黑" w:cs="微软雅黑"/>
        </w:rPr>
        <w:t>℃</w:t>
      </w:r>
      <w:r>
        <w:rPr>
          <w:rFonts w:ascii="Times New Roman" w:hAnsi="Times New Roman"/>
        </w:rPr>
        <w:t>、120rpm恒温震荡培养</w:t>
      </w:r>
      <w:r>
        <w:rPr>
          <w:rFonts w:hint="eastAsia" w:ascii="Times New Roman" w:hAnsi="Times New Roman"/>
        </w:rPr>
        <w:t>（具体转速可根据用户培养箱摇床种类，摇瓶体积及实际培养情况自行调节，可参考下方</w:t>
      </w:r>
      <w:r>
        <w:rPr>
          <w:rFonts w:hint="eastAsia" w:ascii="Times New Roman" w:hAnsi="Times New Roman"/>
          <w:b/>
          <w:bCs/>
          <w:szCs w:val="24"/>
        </w:rPr>
        <w:t>表</w:t>
      </w:r>
      <w:r>
        <w:rPr>
          <w:rFonts w:hint="eastAsia" w:ascii="Times New Roman" w:hAnsi="Times New Roman"/>
          <w:b/>
          <w:bCs/>
          <w:color w:val="333333"/>
          <w:szCs w:val="24"/>
          <w:shd w:val="clear" w:color="auto" w:fill="FFFFFF"/>
        </w:rPr>
        <w:t>Ⅰ</w:t>
      </w:r>
      <w:r>
        <w:rPr>
          <w:rFonts w:hint="eastAsia" w:ascii="Times New Roman" w:hAnsi="Times New Roman"/>
        </w:rPr>
        <w:t>）。</w:t>
      </w:r>
      <w:r>
        <w:rPr>
          <w:rFonts w:ascii="Times New Roman" w:hAnsi="Times New Roman"/>
        </w:rPr>
        <w:t>传代时，需先做细胞计数</w:t>
      </w:r>
      <w:r>
        <w:rPr>
          <w:rFonts w:hint="eastAsia" w:ascii="Times New Roman" w:hAnsi="Times New Roman"/>
        </w:rPr>
        <w:t>和观察细胞活率，尽量选择密度在3</w:t>
      </w:r>
      <w:r>
        <w:rPr>
          <w:rFonts w:ascii="Times New Roman" w:hAnsi="Times New Roman"/>
        </w:rPr>
        <w:t>-6×10</w:t>
      </w:r>
      <w:r>
        <w:rPr>
          <w:rFonts w:ascii="Times New Roman" w:hAnsi="Times New Roman"/>
          <w:vertAlign w:val="superscript"/>
        </w:rPr>
        <w:t xml:space="preserve">6 </w:t>
      </w:r>
      <w:r>
        <w:rPr>
          <w:rFonts w:hint="eastAsia" w:ascii="Times New Roman" w:hAnsi="Times New Roman"/>
        </w:rPr>
        <w:t>cells</w:t>
      </w:r>
      <w:r>
        <w:rPr>
          <w:rFonts w:ascii="Times New Roman" w:hAnsi="Times New Roman"/>
        </w:rPr>
        <w:t>/</w:t>
      </w:r>
      <w:r>
        <w:rPr>
          <w:rFonts w:hint="eastAsia" w:ascii="Times New Roman" w:hAnsi="Times New Roman"/>
        </w:rPr>
        <w:t>ml的高活率细胞进行传代培养。过高培养密度的细胞在传代培养后有可能会出现生长速度缓慢、培养密度降低等生长状态的变化，并直接影响重组蛋白表达等后续应用效果；</w:t>
      </w:r>
    </w:p>
    <w:p w14:paraId="246725C4">
      <w:pPr>
        <w:pStyle w:val="12"/>
        <w:numPr>
          <w:ilvl w:val="0"/>
          <w:numId w:val="3"/>
        </w:numPr>
        <w:ind w:left="0" w:firstLine="0" w:firstLineChars="0"/>
        <w:rPr>
          <w:rFonts w:ascii="Times New Roman" w:hAnsi="Times New Roman"/>
        </w:rPr>
      </w:pPr>
      <w:r>
        <w:rPr>
          <w:rFonts w:hint="eastAsia" w:ascii="Times New Roman" w:hAnsi="Times New Roman"/>
        </w:rPr>
        <w:t>传代培养时建议</w:t>
      </w:r>
      <w:r>
        <w:rPr>
          <w:rFonts w:ascii="Times New Roman" w:hAnsi="Times New Roman"/>
        </w:rPr>
        <w:t>传代后的细胞密度</w:t>
      </w:r>
      <w:r>
        <w:rPr>
          <w:rFonts w:hint="eastAsia" w:ascii="Times New Roman" w:hAnsi="Times New Roman"/>
        </w:rPr>
        <w:t>为0.6</w:t>
      </w:r>
      <w:r>
        <w:rPr>
          <w:rFonts w:ascii="Times New Roman" w:hAnsi="Times New Roman"/>
        </w:rPr>
        <w:t>×10</w:t>
      </w:r>
      <w:r>
        <w:rPr>
          <w:rFonts w:ascii="Times New Roman" w:hAnsi="Times New Roman"/>
          <w:vertAlign w:val="superscript"/>
        </w:rPr>
        <w:t>6</w:t>
      </w:r>
      <w:r>
        <w:rPr>
          <w:rFonts w:hint="eastAsia" w:ascii="Times New Roman" w:hAnsi="Times New Roman"/>
        </w:rPr>
        <w:t xml:space="preserve"> cells</w:t>
      </w:r>
      <w:r>
        <w:rPr>
          <w:rFonts w:ascii="Times New Roman" w:hAnsi="Times New Roman"/>
        </w:rPr>
        <w:t>/</w:t>
      </w:r>
      <w:r>
        <w:rPr>
          <w:rFonts w:hint="eastAsia" w:ascii="Times New Roman" w:hAnsi="Times New Roman"/>
        </w:rPr>
        <w:t>ml，</w:t>
      </w:r>
      <w:r>
        <w:rPr>
          <w:rFonts w:ascii="Times New Roman" w:hAnsi="Times New Roman"/>
        </w:rPr>
        <w:t>每</w:t>
      </w:r>
      <w:r>
        <w:rPr>
          <w:rFonts w:hint="eastAsia" w:ascii="Times New Roman" w:hAnsi="Times New Roman"/>
        </w:rPr>
        <w:t>隔3</w:t>
      </w:r>
      <w:r>
        <w:rPr>
          <w:rFonts w:ascii="Times New Roman" w:hAnsi="Times New Roman"/>
        </w:rPr>
        <w:t>-4</w:t>
      </w:r>
      <w:r>
        <w:rPr>
          <w:rFonts w:hint="eastAsia" w:ascii="Times New Roman" w:hAnsi="Times New Roman"/>
        </w:rPr>
        <w:t>天</w:t>
      </w:r>
      <w:r>
        <w:rPr>
          <w:rFonts w:ascii="Times New Roman" w:hAnsi="Times New Roman"/>
        </w:rPr>
        <w:t>传代</w:t>
      </w: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次。本培养液可支撑的最高细胞密度约为1.2×10</w:t>
      </w:r>
      <w:r>
        <w:rPr>
          <w:rFonts w:ascii="Times New Roman" w:hAnsi="Times New Roman"/>
          <w:vertAlign w:val="superscript"/>
        </w:rPr>
        <w:t>7</w:t>
      </w:r>
      <w:r>
        <w:rPr>
          <w:rFonts w:hint="eastAsia" w:ascii="Times New Roman" w:hAnsi="Times New Roman"/>
        </w:rPr>
        <w:t xml:space="preserve"> cells</w:t>
      </w:r>
      <w:r>
        <w:rPr>
          <w:rFonts w:ascii="Times New Roman" w:hAnsi="Times New Roman"/>
        </w:rPr>
        <w:t>/</w:t>
      </w:r>
      <w:r>
        <w:rPr>
          <w:rFonts w:hint="eastAsia" w:ascii="Times New Roman" w:hAnsi="Times New Roman"/>
        </w:rPr>
        <w:t>ml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细胞在达到此</w:t>
      </w:r>
      <w:r>
        <w:rPr>
          <w:rFonts w:ascii="Times New Roman" w:hAnsi="Times New Roman"/>
        </w:rPr>
        <w:t>密度</w:t>
      </w:r>
      <w:r>
        <w:rPr>
          <w:rFonts w:hint="eastAsia" w:ascii="Times New Roman" w:hAnsi="Times New Roman"/>
        </w:rPr>
        <w:t>时</w:t>
      </w:r>
      <w:r>
        <w:rPr>
          <w:rFonts w:ascii="Times New Roman" w:hAnsi="Times New Roman"/>
        </w:rPr>
        <w:t>存活率一般仍可保持</w:t>
      </w:r>
      <w:r>
        <w:rPr>
          <w:rFonts w:hint="eastAsia" w:ascii="Times New Roman" w:hAnsi="Times New Roman"/>
        </w:rPr>
        <w:t>在</w:t>
      </w:r>
      <w:r>
        <w:rPr>
          <w:rFonts w:ascii="Times New Roman" w:hAnsi="Times New Roman"/>
        </w:rPr>
        <w:t>95%以上</w:t>
      </w:r>
      <w:r>
        <w:rPr>
          <w:rFonts w:hint="eastAsia" w:ascii="Times New Roman" w:hAnsi="Times New Roman"/>
        </w:rPr>
        <w:t>；</w:t>
      </w:r>
    </w:p>
    <w:p w14:paraId="1DD6AD05">
      <w:pPr>
        <w:pStyle w:val="12"/>
        <w:numPr>
          <w:ilvl w:val="0"/>
          <w:numId w:val="3"/>
        </w:numPr>
        <w:ind w:left="0" w:firstLine="0" w:firstLineChars="0"/>
        <w:rPr>
          <w:rFonts w:ascii="Times New Roman" w:hAnsi="Times New Roman"/>
        </w:rPr>
      </w:pPr>
      <w:r>
        <w:rPr>
          <w:rFonts w:hint="eastAsia" w:ascii="Times New Roman" w:hAnsi="Times New Roman"/>
        </w:rPr>
        <w:t>若在培养过程中出现死细胞数过多的状况，应把细胞丢弃，使用新的细胞。</w:t>
      </w:r>
    </w:p>
    <w:p w14:paraId="322A5AD6">
      <w:pPr>
        <w:pStyle w:val="12"/>
        <w:spacing w:line="324" w:lineRule="auto"/>
        <w:ind w:firstLine="0" w:firstLineChars="0"/>
        <w:jc w:val="center"/>
        <w:rPr>
          <w:rFonts w:ascii="Times New Roman" w:hAnsi="Times New Roman" w:eastAsia="宋体" w:cs="Times New Roman"/>
          <w:b/>
          <w:bCs/>
          <w:color w:val="333333"/>
          <w:szCs w:val="24"/>
          <w:shd w:val="clear" w:color="auto" w:fill="FFFFFF"/>
        </w:rPr>
      </w:pPr>
      <w:r>
        <w:rPr>
          <w:rFonts w:hint="eastAsia" w:ascii="Times New Roman" w:hAnsi="Times New Roman"/>
          <w:b/>
          <w:bCs/>
          <w:szCs w:val="24"/>
        </w:rPr>
        <w:t>表</w:t>
      </w:r>
      <w:r>
        <w:rPr>
          <w:rFonts w:hint="eastAsia" w:ascii="Times New Roman" w:hAnsi="Times New Roman"/>
          <w:b/>
          <w:bCs/>
          <w:color w:val="333333"/>
          <w:szCs w:val="24"/>
          <w:shd w:val="clear" w:color="auto" w:fill="FFFFFF"/>
        </w:rPr>
        <w:t>Ⅰ：</w:t>
      </w:r>
      <w:r>
        <w:rPr>
          <w:rFonts w:hint="eastAsia" w:ascii="Times New Roman" w:hAnsi="Times New Roman"/>
          <w:b/>
          <w:bCs/>
          <w:szCs w:val="24"/>
        </w:rPr>
        <w:t>摇床参数设定</w:t>
      </w:r>
    </w:p>
    <w:tbl>
      <w:tblPr>
        <w:tblStyle w:val="10"/>
        <w:tblW w:w="9779" w:type="dxa"/>
        <w:jc w:val="center"/>
        <w:tblBorders>
          <w:top w:val="single" w:color="4F81BD" w:sz="8" w:space="0"/>
          <w:left w:val="none" w:color="auto" w:sz="0" w:space="0"/>
          <w:bottom w:val="single" w:color="4F81BD" w:sz="8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448"/>
        <w:gridCol w:w="2441"/>
        <w:gridCol w:w="2442"/>
      </w:tblGrid>
      <w:tr w14:paraId="64C9ECD4">
        <w:tblPrEx>
          <w:tblBorders>
            <w:top w:val="single" w:color="4F81BD" w:sz="8" w:space="0"/>
            <w:left w:val="none" w:color="auto" w:sz="0" w:space="0"/>
            <w:bottom w:val="single" w:color="4F81BD" w:sz="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896" w:type="dxa"/>
            <w:gridSpan w:val="2"/>
            <w:tcBorders>
              <w:top w:val="single" w:color="4F81BD" w:sz="12" w:space="0"/>
              <w:left w:val="nil"/>
              <w:bottom w:val="single" w:color="4F81BD" w:sz="12" w:space="0"/>
              <w:right w:val="single" w:color="4F81BD" w:sz="8" w:space="0"/>
            </w:tcBorders>
            <w:vAlign w:val="center"/>
          </w:tcPr>
          <w:p w14:paraId="05DBA818">
            <w:pPr>
              <w:spacing w:line="324" w:lineRule="auto"/>
              <w:ind w:firstLine="48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摇床振幅为</w:t>
            </w:r>
            <w:r>
              <w:rPr>
                <w:rFonts w:hint="eastAsia" w:ascii="Times New Roman" w:hAnsi="Times New Roman"/>
                <w:b/>
                <w:szCs w:val="24"/>
              </w:rPr>
              <w:t>26mm</w:t>
            </w:r>
          </w:p>
        </w:tc>
        <w:tc>
          <w:tcPr>
            <w:tcW w:w="4883" w:type="dxa"/>
            <w:gridSpan w:val="2"/>
            <w:tcBorders>
              <w:top w:val="single" w:color="4F81BD" w:sz="12" w:space="0"/>
              <w:left w:val="nil"/>
              <w:bottom w:val="single" w:color="4F81BD" w:sz="12" w:space="0"/>
              <w:right w:val="nil"/>
            </w:tcBorders>
            <w:vAlign w:val="center"/>
          </w:tcPr>
          <w:p w14:paraId="22897695">
            <w:pPr>
              <w:ind w:firstLine="48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摇床振幅为</w:t>
            </w:r>
            <w:r>
              <w:rPr>
                <w:rFonts w:hint="eastAsia" w:ascii="Times New Roman" w:hAnsi="Times New Roman"/>
                <w:b/>
                <w:szCs w:val="24"/>
              </w:rPr>
              <w:t>50mm</w:t>
            </w:r>
          </w:p>
        </w:tc>
      </w:tr>
      <w:tr w14:paraId="1FF8DF77">
        <w:tblPrEx>
          <w:tblBorders>
            <w:top w:val="single" w:color="4F81BD" w:sz="8" w:space="0"/>
            <w:left w:val="none" w:color="auto" w:sz="0" w:space="0"/>
            <w:bottom w:val="single" w:color="4F81BD" w:sz="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8" w:type="dxa"/>
            <w:tcBorders>
              <w:top w:val="single" w:color="4F81BD" w:sz="12" w:space="0"/>
              <w:left w:val="nil"/>
              <w:bottom w:val="single" w:color="4F81BD" w:sz="8" w:space="0"/>
              <w:right w:val="single" w:color="4F81BD" w:sz="8" w:space="0"/>
            </w:tcBorders>
            <w:vAlign w:val="center"/>
          </w:tcPr>
          <w:p w14:paraId="0CDA7FA9">
            <w:pPr>
              <w:spacing w:line="324" w:lineRule="auto"/>
              <w:ind w:firstLine="48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0.02-2L摇瓶</w:t>
            </w:r>
          </w:p>
        </w:tc>
        <w:tc>
          <w:tcPr>
            <w:tcW w:w="2448" w:type="dxa"/>
            <w:tcBorders>
              <w:top w:val="single" w:color="4F81BD" w:sz="12" w:space="0"/>
              <w:left w:val="nil"/>
              <w:bottom w:val="single" w:color="4F81BD" w:sz="8" w:space="0"/>
              <w:right w:val="single" w:color="4F81BD" w:sz="8" w:space="0"/>
            </w:tcBorders>
            <w:vAlign w:val="center"/>
          </w:tcPr>
          <w:p w14:paraId="7B15FBBC">
            <w:pPr>
              <w:spacing w:line="324" w:lineRule="auto"/>
              <w:ind w:firstLine="48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120rpm</w:t>
            </w:r>
          </w:p>
        </w:tc>
        <w:tc>
          <w:tcPr>
            <w:tcW w:w="2441" w:type="dxa"/>
            <w:tcBorders>
              <w:top w:val="single" w:color="4F81BD" w:sz="12" w:space="0"/>
              <w:left w:val="nil"/>
              <w:bottom w:val="single" w:color="4F81BD" w:sz="8" w:space="0"/>
              <w:right w:val="nil"/>
            </w:tcBorders>
            <w:vAlign w:val="center"/>
          </w:tcPr>
          <w:p w14:paraId="0ADBA41E">
            <w:pPr>
              <w:ind w:firstLine="48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0.02-2L摇瓶</w:t>
            </w:r>
          </w:p>
        </w:tc>
        <w:tc>
          <w:tcPr>
            <w:tcW w:w="2442" w:type="dxa"/>
            <w:tcBorders>
              <w:top w:val="single" w:color="4F81BD" w:sz="12" w:space="0"/>
              <w:left w:val="single" w:color="4F81BD" w:sz="8" w:space="0"/>
              <w:bottom w:val="single" w:color="4F81BD" w:sz="8" w:space="0"/>
              <w:right w:val="nil"/>
            </w:tcBorders>
            <w:vAlign w:val="center"/>
          </w:tcPr>
          <w:p w14:paraId="41ECFE01">
            <w:pPr>
              <w:ind w:firstLine="48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85rpm</w:t>
            </w:r>
          </w:p>
        </w:tc>
      </w:tr>
      <w:tr w14:paraId="7FE63CB9">
        <w:tblPrEx>
          <w:tblBorders>
            <w:top w:val="single" w:color="4F81BD" w:sz="8" w:space="0"/>
            <w:left w:val="none" w:color="auto" w:sz="0" w:space="0"/>
            <w:bottom w:val="single" w:color="4F81BD" w:sz="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448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vAlign w:val="center"/>
          </w:tcPr>
          <w:p w14:paraId="2790DA76">
            <w:pPr>
              <w:spacing w:line="324" w:lineRule="auto"/>
              <w:ind w:firstLine="48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2-5L摇瓶</w:t>
            </w:r>
          </w:p>
        </w:tc>
        <w:tc>
          <w:tcPr>
            <w:tcW w:w="2448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vAlign w:val="center"/>
          </w:tcPr>
          <w:p w14:paraId="73746A02">
            <w:pPr>
              <w:spacing w:line="324" w:lineRule="auto"/>
              <w:ind w:firstLine="48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90rpm</w:t>
            </w:r>
          </w:p>
        </w:tc>
        <w:tc>
          <w:tcPr>
            <w:tcW w:w="244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  <w:vAlign w:val="center"/>
          </w:tcPr>
          <w:p w14:paraId="36FC1327">
            <w:pPr>
              <w:ind w:firstLine="48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2-5L摇瓶</w:t>
            </w:r>
          </w:p>
        </w:tc>
        <w:tc>
          <w:tcPr>
            <w:tcW w:w="244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nil"/>
            </w:tcBorders>
            <w:vAlign w:val="center"/>
          </w:tcPr>
          <w:p w14:paraId="4E11DB17">
            <w:pPr>
              <w:ind w:firstLine="48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65rpm</w:t>
            </w:r>
          </w:p>
        </w:tc>
      </w:tr>
    </w:tbl>
    <w:p w14:paraId="05A110AE">
      <w:pPr>
        <w:pStyle w:val="12"/>
        <w:ind w:firstLine="0" w:firstLineChars="0"/>
        <w:rPr>
          <w:rFonts w:ascii="Times New Roman" w:hAnsi="Times New Roman"/>
        </w:rPr>
      </w:pPr>
    </w:p>
    <w:p w14:paraId="000D5AFE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转染细胞的准备</w:t>
      </w:r>
    </w:p>
    <w:p w14:paraId="59013E12">
      <w:pPr>
        <w:pStyle w:val="12"/>
        <w:widowControl/>
        <w:numPr>
          <w:ilvl w:val="0"/>
          <w:numId w:val="4"/>
        </w:numPr>
        <w:adjustRightInd w:val="0"/>
        <w:snapToGrid w:val="0"/>
        <w:ind w:left="0" w:firstLine="0" w:firstLineChars="0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在细胞瞬时转染前需</w:t>
      </w:r>
      <w:r>
        <w:rPr>
          <w:rFonts w:ascii="Times New Roman" w:hAnsi="Times New Roman" w:cs="Times New Roman"/>
          <w:szCs w:val="24"/>
        </w:rPr>
        <w:t>确定其细胞密度及存活率</w:t>
      </w:r>
      <w:bookmarkStart w:id="0" w:name="OLE_LINK1"/>
      <w:r>
        <w:rPr>
          <w:rFonts w:ascii="Times New Roman" w:hAnsi="Times New Roman" w:cs="Times New Roman"/>
          <w:szCs w:val="24"/>
        </w:rPr>
        <w:t>。为确保转染效果，建议使用处于</w:t>
      </w:r>
      <w:r>
        <w:rPr>
          <w:rFonts w:hint="eastAsia" w:ascii="Times New Roman" w:hAnsi="Times New Roman" w:cs="Times New Roman"/>
          <w:szCs w:val="24"/>
        </w:rPr>
        <w:t>对</w:t>
      </w:r>
      <w:r>
        <w:rPr>
          <w:rFonts w:ascii="Times New Roman" w:hAnsi="Times New Roman" w:cs="Times New Roman"/>
          <w:szCs w:val="24"/>
        </w:rPr>
        <w:t>数</w:t>
      </w:r>
      <w:r>
        <w:rPr>
          <w:rFonts w:hint="eastAsia" w:ascii="Times New Roman" w:hAnsi="Times New Roman" w:cs="Times New Roman"/>
          <w:szCs w:val="24"/>
        </w:rPr>
        <w:t>生长</w:t>
      </w:r>
      <w:r>
        <w:rPr>
          <w:rFonts w:ascii="Times New Roman" w:hAnsi="Times New Roman" w:cs="Times New Roman"/>
          <w:szCs w:val="24"/>
        </w:rPr>
        <w:t>期（密度约为</w:t>
      </w:r>
      <w:r>
        <w:rPr>
          <w:rFonts w:hint="eastAsia"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-5×10</w:t>
      </w:r>
      <w:r>
        <w:rPr>
          <w:rFonts w:ascii="Times New Roman" w:hAnsi="Times New Roman" w:cs="Times New Roman"/>
          <w:szCs w:val="24"/>
          <w:vertAlign w:val="superscript"/>
        </w:rPr>
        <w:t>6</w:t>
      </w:r>
      <w:r>
        <w:rPr>
          <w:rFonts w:hint="eastAsia" w:ascii="Times New Roman" w:hAnsi="Times New Roman"/>
        </w:rPr>
        <w:t xml:space="preserve"> cells</w:t>
      </w:r>
      <w:r>
        <w:rPr>
          <w:rFonts w:ascii="Times New Roman" w:hAnsi="Times New Roman"/>
        </w:rPr>
        <w:t>/</w:t>
      </w:r>
      <w:r>
        <w:rPr>
          <w:rFonts w:hint="eastAsia" w:ascii="Times New Roman" w:hAnsi="Times New Roman"/>
        </w:rPr>
        <w:t>ml</w:t>
      </w:r>
      <w:r>
        <w:rPr>
          <w:rFonts w:ascii="Times New Roman" w:hAnsi="Times New Roman" w:cs="Times New Roman"/>
          <w:szCs w:val="24"/>
        </w:rPr>
        <w:t>）、存活率大于9</w:t>
      </w:r>
      <w:r>
        <w:rPr>
          <w:rFonts w:hint="eastAsia"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>% 的细胞转染；</w:t>
      </w:r>
      <w:bookmarkEnd w:id="0"/>
    </w:p>
    <w:p w14:paraId="58EEA638">
      <w:pPr>
        <w:pStyle w:val="12"/>
        <w:widowControl/>
        <w:numPr>
          <w:ilvl w:val="0"/>
          <w:numId w:val="4"/>
        </w:numPr>
        <w:adjustRightInd w:val="0"/>
        <w:snapToGrid w:val="0"/>
        <w:ind w:left="0" w:firstLine="0" w:firstLine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细胞无需离心，</w:t>
      </w:r>
      <w:r>
        <w:rPr>
          <w:rFonts w:hint="eastAsia" w:ascii="Times New Roman" w:hAnsi="Times New Roman" w:cs="Times New Roman"/>
          <w:szCs w:val="24"/>
        </w:rPr>
        <w:t>若细胞密度为2.0×10</w:t>
      </w:r>
      <w:r>
        <w:rPr>
          <w:rFonts w:hint="eastAsia" w:ascii="Times New Roman" w:hAnsi="Times New Roman" w:cs="Times New Roman"/>
          <w:szCs w:val="24"/>
          <w:vertAlign w:val="superscript"/>
        </w:rPr>
        <w:t>6</w:t>
      </w:r>
      <w:r>
        <w:rPr>
          <w:rFonts w:hint="eastAsia" w:ascii="Times New Roman" w:hAnsi="Times New Roman"/>
        </w:rPr>
        <w:t xml:space="preserve"> cells</w:t>
      </w:r>
      <w:r>
        <w:rPr>
          <w:rFonts w:ascii="Times New Roman" w:hAnsi="Times New Roman"/>
        </w:rPr>
        <w:t>/</w:t>
      </w:r>
      <w:r>
        <w:rPr>
          <w:rFonts w:hint="eastAsia" w:ascii="Times New Roman" w:hAnsi="Times New Roman"/>
        </w:rPr>
        <w:t>ml</w:t>
      </w:r>
      <w:r>
        <w:rPr>
          <w:rFonts w:hint="eastAsia" w:ascii="Times New Roman" w:hAnsi="Times New Roman" w:cs="Times New Roman"/>
          <w:szCs w:val="24"/>
        </w:rPr>
        <w:t>时，则可直接</w:t>
      </w:r>
      <w:r>
        <w:rPr>
          <w:rFonts w:ascii="Times New Roman" w:hAnsi="Times New Roman" w:cs="Times New Roman"/>
          <w:szCs w:val="24"/>
        </w:rPr>
        <w:t>转染</w:t>
      </w:r>
      <w:r>
        <w:rPr>
          <w:rFonts w:hint="eastAsia" w:ascii="Times New Roman" w:hAnsi="Times New Roman" w:cs="Times New Roman"/>
          <w:szCs w:val="24"/>
        </w:rPr>
        <w:t>，若细胞密度&gt;2.0×10</w:t>
      </w:r>
      <w:r>
        <w:rPr>
          <w:rFonts w:hint="eastAsia" w:ascii="Times New Roman" w:hAnsi="Times New Roman" w:cs="Times New Roman"/>
          <w:szCs w:val="24"/>
          <w:vertAlign w:val="superscript"/>
        </w:rPr>
        <w:t>6</w:t>
      </w:r>
      <w:r>
        <w:rPr>
          <w:rFonts w:hint="eastAsia" w:ascii="Times New Roman" w:hAnsi="Times New Roman"/>
        </w:rPr>
        <w:t xml:space="preserve"> cells</w:t>
      </w:r>
      <w:r>
        <w:rPr>
          <w:rFonts w:ascii="Times New Roman" w:hAnsi="Times New Roman"/>
        </w:rPr>
        <w:t>/</w:t>
      </w:r>
      <w:r>
        <w:rPr>
          <w:rFonts w:hint="eastAsia" w:ascii="Times New Roman" w:hAnsi="Times New Roman"/>
        </w:rPr>
        <w:t>ml</w:t>
      </w:r>
      <w:r>
        <w:rPr>
          <w:rFonts w:hint="eastAsia" w:ascii="Times New Roman" w:hAnsi="Times New Roman" w:cs="Times New Roman"/>
          <w:szCs w:val="24"/>
        </w:rPr>
        <w:t>，则需</w:t>
      </w:r>
      <w:r>
        <w:rPr>
          <w:rFonts w:ascii="Times New Roman" w:hAnsi="Times New Roman" w:cs="Times New Roman"/>
          <w:szCs w:val="24"/>
        </w:rPr>
        <w:t>兑入</w:t>
      </w:r>
      <w:r>
        <w:rPr>
          <w:rFonts w:hint="eastAsia" w:ascii="Times New Roman" w:hAnsi="Times New Roman" w:cs="Times New Roman"/>
          <w:szCs w:val="24"/>
        </w:rPr>
        <w:t>新鲜的</w:t>
      </w:r>
      <w:r>
        <w:rPr>
          <w:rFonts w:ascii="Times New Roman" w:hAnsi="Times New Roman" w:cs="Times New Roman"/>
          <w:szCs w:val="24"/>
        </w:rPr>
        <w:t>KOP293培养液，将细胞密度稀释成</w:t>
      </w:r>
      <w:r>
        <w:rPr>
          <w:rFonts w:hint="eastAsia"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×10</w:t>
      </w:r>
      <w:r>
        <w:rPr>
          <w:rFonts w:ascii="Times New Roman" w:hAnsi="Times New Roman" w:cs="Times New Roman"/>
          <w:szCs w:val="24"/>
          <w:vertAlign w:val="superscript"/>
        </w:rPr>
        <w:t>6</w:t>
      </w:r>
      <w:r>
        <w:rPr>
          <w:rFonts w:hint="eastAsia" w:ascii="Times New Roman" w:hAnsi="Times New Roman"/>
        </w:rPr>
        <w:t xml:space="preserve"> cells</w:t>
      </w:r>
      <w:r>
        <w:rPr>
          <w:rFonts w:ascii="Times New Roman" w:hAnsi="Times New Roman"/>
        </w:rPr>
        <w:t>/</w:t>
      </w:r>
      <w:r>
        <w:rPr>
          <w:rFonts w:hint="eastAsia" w:ascii="Times New Roman" w:hAnsi="Times New Roman"/>
        </w:rPr>
        <w:t>ml</w:t>
      </w:r>
      <w:r>
        <w:rPr>
          <w:rFonts w:ascii="Times New Roman" w:hAnsi="Times New Roman" w:cs="Times New Roman"/>
          <w:szCs w:val="24"/>
        </w:rPr>
        <w:t>（客户也可根据</w:t>
      </w:r>
      <w:r>
        <w:rPr>
          <w:rFonts w:hint="eastAsia" w:ascii="Times New Roman" w:hAnsi="Times New Roman" w:cs="Times New Roman"/>
          <w:szCs w:val="24"/>
        </w:rPr>
        <w:t>自身经验摸</w:t>
      </w:r>
      <w:r>
        <w:rPr>
          <w:rFonts w:ascii="Times New Roman" w:hAnsi="Times New Roman" w:cs="Times New Roman"/>
          <w:szCs w:val="24"/>
        </w:rPr>
        <w:t>索合适的转染密度）；</w:t>
      </w:r>
    </w:p>
    <w:p w14:paraId="7233AAD2">
      <w:pPr>
        <w:pStyle w:val="12"/>
        <w:widowControl/>
        <w:numPr>
          <w:ilvl w:val="0"/>
          <w:numId w:val="4"/>
        </w:numPr>
        <w:adjustRightInd w:val="0"/>
        <w:snapToGrid w:val="0"/>
        <w:ind w:left="0" w:firstLine="0" w:firstLine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摇瓶置于5%的CO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恒温摇床中，37℃、120rpm恒温震荡培养10min</w:t>
      </w:r>
      <w:r>
        <w:rPr>
          <w:rFonts w:hint="eastAsia" w:ascii="Times New Roman" w:hAnsi="Times New Roman" w:cs="Times New Roman"/>
          <w:szCs w:val="24"/>
        </w:rPr>
        <w:t>后开始转染</w:t>
      </w:r>
      <w:r>
        <w:rPr>
          <w:rFonts w:ascii="Times New Roman" w:hAnsi="Times New Roman" w:cs="Times New Roman"/>
          <w:szCs w:val="24"/>
        </w:rPr>
        <w:t>。</w:t>
      </w:r>
    </w:p>
    <w:tbl>
      <w:tblPr>
        <w:tblStyle w:val="10"/>
        <w:tblW w:w="9962" w:type="dxa"/>
        <w:tblInd w:w="0" w:type="dxa"/>
        <w:tblBorders>
          <w:top w:val="dashed" w:color="7E7E7E" w:themeColor="text1" w:themeTint="80" w:sz="12" w:space="0"/>
          <w:left w:val="dashed" w:color="7E7E7E" w:themeColor="text1" w:themeTint="80" w:sz="12" w:space="0"/>
          <w:bottom w:val="dashed" w:color="7E7E7E" w:themeColor="text1" w:themeTint="80" w:sz="12" w:space="0"/>
          <w:right w:val="dashed" w:color="7E7E7E" w:themeColor="text1" w:themeTint="80" w:sz="12" w:space="0"/>
          <w:insideH w:val="dashed" w:color="7E7E7E" w:themeColor="text1" w:themeTint="80" w:sz="12" w:space="0"/>
          <w:insideV w:val="dashed" w:color="7E7E7E" w:themeColor="text1" w:themeTint="8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18E10D22">
        <w:tblPrEx>
          <w:tblBorders>
            <w:top w:val="dashed" w:color="7E7E7E" w:themeColor="text1" w:themeTint="80" w:sz="12" w:space="0"/>
            <w:left w:val="dashed" w:color="7E7E7E" w:themeColor="text1" w:themeTint="80" w:sz="12" w:space="0"/>
            <w:bottom w:val="dashed" w:color="7E7E7E" w:themeColor="text1" w:themeTint="80" w:sz="12" w:space="0"/>
            <w:right w:val="dashed" w:color="7E7E7E" w:themeColor="text1" w:themeTint="80" w:sz="12" w:space="0"/>
            <w:insideH w:val="dashed" w:color="7E7E7E" w:themeColor="text1" w:themeTint="80" w:sz="12" w:space="0"/>
            <w:insideV w:val="dashed" w:color="7E7E7E" w:themeColor="text1" w:themeTint="8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 w14:paraId="71CAA796">
            <w:pPr>
              <w:widowControl/>
              <w:adjustRightInd w:val="0"/>
              <w:snapToGrid w:val="0"/>
              <w:ind w:firstLine="36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操作要点及注意事项：</w:t>
            </w:r>
          </w:p>
          <w:p w14:paraId="6398C3D4">
            <w:pPr>
              <w:pStyle w:val="12"/>
              <w:widowControl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请确保细胞处于对数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生长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期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（2~4×10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cells/ml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当细胞密度&gt;2×10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cells/ml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时，使用新鲜的培养液重悬，若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使用处于非对数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生长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期的293细胞做转染，转染效率及表达量会偏低；</w:t>
            </w:r>
          </w:p>
          <w:p w14:paraId="357FD952">
            <w:pPr>
              <w:pStyle w:val="12"/>
              <w:widowControl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使用非细胞计数仪的客户，若因细胞计数误差较大，应注意尽量控制细胞转染密度为1.8~2.5×10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cells/ml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；</w:t>
            </w:r>
          </w:p>
          <w:p w14:paraId="5AEDBD77">
            <w:pPr>
              <w:pStyle w:val="12"/>
              <w:widowControl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请确保细胞存活率高于9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%，使用状态不佳的细胞转染效率、表达量、表达天数会受影响；</w:t>
            </w:r>
          </w:p>
          <w:p w14:paraId="0B2C892A">
            <w:pPr>
              <w:pStyle w:val="12"/>
              <w:widowControl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细胞稀释至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.0×10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cells/ml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后，细胞悬液需置于摇床中平衡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10min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再做转染。</w:t>
            </w:r>
          </w:p>
          <w:p w14:paraId="32FA4B4F">
            <w:pPr>
              <w:pStyle w:val="12"/>
              <w:widowControl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转染效率与质粒大小有关，质粒较大时，建议接种低细胞密度进行转染，客户可根据自身质粒大小摸索合适的细胞转染密度（≤2.5×10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cells/ml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）。</w:t>
            </w:r>
          </w:p>
        </w:tc>
      </w:tr>
    </w:tbl>
    <w:p w14:paraId="32435EA1">
      <w:pPr>
        <w:ind w:firstLine="482"/>
        <w:rPr>
          <w:rFonts w:ascii="Times New Roman" w:hAnsi="Times New Roman" w:cs="Times New Roman"/>
          <w:b/>
          <w:szCs w:val="24"/>
        </w:rPr>
      </w:pPr>
    </w:p>
    <w:p w14:paraId="1CA6853E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hint="eastAsia" w:ascii="Times New Roman" w:hAnsi="Times New Roman"/>
        </w:rPr>
        <w:t>3</w:t>
      </w:r>
      <w:r>
        <w:rPr>
          <w:rFonts w:ascii="Times New Roman" w:hAnsi="Times New Roman"/>
        </w:rPr>
        <w:t>瞬时转染（以转染100ml细胞悬液为例）</w:t>
      </w:r>
    </w:p>
    <w:p w14:paraId="64EC4E67">
      <w:pPr>
        <w:pStyle w:val="12"/>
        <w:widowControl/>
        <w:numPr>
          <w:ilvl w:val="0"/>
          <w:numId w:val="6"/>
        </w:numPr>
        <w:adjustRightInd w:val="0"/>
        <w:snapToGrid w:val="0"/>
        <w:ind w:left="0" w:firstLine="0" w:firstLine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准备两支15ml无菌离心管</w:t>
      </w:r>
      <w:r>
        <w:rPr>
          <w:rFonts w:hint="eastAsia" w:ascii="Times New Roman" w:hAnsi="Times New Roman" w:cs="Times New Roman"/>
          <w:szCs w:val="24"/>
        </w:rPr>
        <w:t>，</w:t>
      </w:r>
      <w:r>
        <w:rPr>
          <w:rFonts w:ascii="Times New Roman" w:hAnsi="Times New Roman" w:cs="Times New Roman"/>
          <w:szCs w:val="24"/>
        </w:rPr>
        <w:t>在其中一支</w:t>
      </w:r>
      <w:r>
        <w:rPr>
          <w:rFonts w:hint="eastAsia" w:ascii="Times New Roman" w:hAnsi="Times New Roman" w:cs="Times New Roman"/>
          <w:szCs w:val="24"/>
        </w:rPr>
        <w:t>中</w:t>
      </w:r>
      <w:r>
        <w:rPr>
          <w:rFonts w:ascii="Times New Roman" w:hAnsi="Times New Roman" w:cs="Times New Roman"/>
          <w:szCs w:val="24"/>
        </w:rPr>
        <w:t>加入5ml KPM和100μg无菌质粒DNA，轻轻吹打混匀；取另一支</w:t>
      </w:r>
      <w:r>
        <w:rPr>
          <w:rFonts w:hint="eastAsia" w:ascii="Times New Roman" w:hAnsi="Times New Roman" w:cs="Times New Roman"/>
          <w:szCs w:val="24"/>
        </w:rPr>
        <w:t>离心管，加</w:t>
      </w:r>
      <w:r>
        <w:rPr>
          <w:rFonts w:ascii="Times New Roman" w:hAnsi="Times New Roman" w:cs="Times New Roman"/>
          <w:szCs w:val="24"/>
        </w:rPr>
        <w:t xml:space="preserve">入5ml KPM和500μl </w:t>
      </w:r>
      <w:r>
        <w:rPr>
          <w:rFonts w:hint="eastAsia" w:ascii="Times New Roman" w:hAnsi="Times New Roman" w:cs="Times New Roman"/>
          <w:szCs w:val="24"/>
        </w:rPr>
        <w:t>的</w:t>
      </w:r>
      <w:r>
        <w:rPr>
          <w:rFonts w:ascii="Times New Roman" w:hAnsi="Times New Roman" w:cs="Times New Roman"/>
          <w:szCs w:val="24"/>
        </w:rPr>
        <w:t>TA-293转染试剂，轻轻吹打混匀</w:t>
      </w:r>
      <w:r>
        <w:rPr>
          <w:rFonts w:hint="eastAsia" w:ascii="Times New Roman" w:hAnsi="Times New Roman" w:cs="Times New Roman"/>
          <w:szCs w:val="24"/>
        </w:rPr>
        <w:t>；</w:t>
      </w:r>
    </w:p>
    <w:p w14:paraId="17FCA7B4">
      <w:pPr>
        <w:pStyle w:val="12"/>
        <w:widowControl/>
        <w:numPr>
          <w:ilvl w:val="0"/>
          <w:numId w:val="6"/>
        </w:numPr>
        <w:adjustRightInd w:val="0"/>
        <w:snapToGrid w:val="0"/>
        <w:ind w:left="0" w:firstLine="0" w:firstLine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将</w:t>
      </w:r>
      <w:r>
        <w:rPr>
          <w:rFonts w:hint="eastAsia" w:ascii="Times New Roman" w:hAnsi="Times New Roman" w:cs="Times New Roman"/>
          <w:szCs w:val="24"/>
        </w:rPr>
        <w:t>含有转染试剂的离心管中所有液体转移至含质粒的离心管中</w:t>
      </w:r>
      <w:r>
        <w:rPr>
          <w:rFonts w:ascii="Times New Roman" w:hAnsi="Times New Roman" w:cs="Times New Roman"/>
          <w:szCs w:val="24"/>
        </w:rPr>
        <w:t>，轻轻吹打混匀</w:t>
      </w:r>
      <w:r>
        <w:rPr>
          <w:rFonts w:hint="eastAsia" w:ascii="Times New Roman" w:hAnsi="Times New Roman" w:cs="Times New Roman"/>
          <w:szCs w:val="24"/>
        </w:rPr>
        <w:t>；</w:t>
      </w:r>
    </w:p>
    <w:p w14:paraId="767548A0">
      <w:pPr>
        <w:pStyle w:val="12"/>
        <w:widowControl/>
        <w:numPr>
          <w:ilvl w:val="0"/>
          <w:numId w:val="6"/>
        </w:numPr>
        <w:adjustRightInd w:val="0"/>
        <w:snapToGrid w:val="0"/>
        <w:ind w:left="0" w:firstLine="0" w:firstLine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室温下静置10</w:t>
      </w:r>
      <w:r>
        <w:rPr>
          <w:rFonts w:hint="eastAsia" w:ascii="Times New Roman" w:hAnsi="Times New Roman" w:cs="Times New Roman"/>
          <w:szCs w:val="24"/>
        </w:rPr>
        <w:t>min</w:t>
      </w:r>
      <w:r>
        <w:rPr>
          <w:rFonts w:ascii="Times New Roman" w:hAnsi="Times New Roman" w:cs="Times New Roman"/>
          <w:szCs w:val="24"/>
        </w:rPr>
        <w:t>制备出质粒-载体复合物</w:t>
      </w:r>
      <w:r>
        <w:rPr>
          <w:rFonts w:hint="eastAsia" w:ascii="Times New Roman" w:hAnsi="Times New Roman" w:cs="Times New Roman"/>
          <w:szCs w:val="24"/>
        </w:rPr>
        <w:t>（如</w:t>
      </w:r>
      <w:r>
        <w:rPr>
          <w:rFonts w:ascii="Times New Roman" w:hAnsi="Times New Roman" w:cs="Times New Roman"/>
          <w:szCs w:val="24"/>
        </w:rPr>
        <w:t>图1</w:t>
      </w:r>
      <w:r>
        <w:rPr>
          <w:rFonts w:hint="eastAsia" w:ascii="Times New Roman" w:hAnsi="Times New Roman" w:cs="Times New Roman"/>
          <w:szCs w:val="24"/>
        </w:rPr>
        <w:t>）</w:t>
      </w:r>
      <w:r>
        <w:rPr>
          <w:rFonts w:ascii="Times New Roman" w:hAnsi="Times New Roman" w:cs="Times New Roman"/>
          <w:szCs w:val="24"/>
        </w:rPr>
        <w:t>；</w:t>
      </w:r>
    </w:p>
    <w:p w14:paraId="502BA730">
      <w:pPr>
        <w:pStyle w:val="12"/>
        <w:widowControl/>
        <w:numPr>
          <w:ilvl w:val="0"/>
          <w:numId w:val="6"/>
        </w:numPr>
        <w:adjustRightInd w:val="0"/>
        <w:snapToGrid w:val="0"/>
        <w:ind w:left="0" w:firstLine="0" w:firstLine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从恒温摇床中取出细胞，</w:t>
      </w:r>
      <w:r>
        <w:rPr>
          <w:rFonts w:hint="eastAsia" w:ascii="Times New Roman" w:hAnsi="Times New Roman" w:cs="Times New Roman"/>
          <w:szCs w:val="24"/>
        </w:rPr>
        <w:t>边摇边加入制备好的</w:t>
      </w:r>
      <w:r>
        <w:rPr>
          <w:rFonts w:ascii="Times New Roman" w:hAnsi="Times New Roman" w:cs="Times New Roman"/>
          <w:szCs w:val="24"/>
        </w:rPr>
        <w:t>质粒-载体复合物，放回CO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恒温摇床中</w:t>
      </w:r>
      <w:r>
        <w:rPr>
          <w:rFonts w:hint="eastAsia" w:ascii="Times New Roman" w:hAnsi="Times New Roman" w:cs="Times New Roman"/>
          <w:szCs w:val="24"/>
        </w:rPr>
        <w:t>震荡</w:t>
      </w:r>
      <w:r>
        <w:rPr>
          <w:rFonts w:ascii="Times New Roman" w:hAnsi="Times New Roman" w:cs="Times New Roman"/>
          <w:szCs w:val="24"/>
        </w:rPr>
        <w:t>培养。3小时后可根据需要加入适量抗生素。</w:t>
      </w:r>
    </w:p>
    <w:p w14:paraId="4759EB5C">
      <w:pPr>
        <w:pStyle w:val="12"/>
        <w:widowControl/>
        <w:adjustRightInd w:val="0"/>
        <w:snapToGrid w:val="0"/>
        <w:ind w:left="420" w:firstLine="0" w:firstLineChars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3581400</wp:posOffset>
                </wp:positionV>
                <wp:extent cx="956310" cy="723900"/>
                <wp:effectExtent l="0" t="0" r="1524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BFEB72">
                            <w:pPr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微软雅黑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微软雅黑" w:eastAsia="微软雅黑" w:cs="Times New Roman"/>
                                <w:sz w:val="18"/>
                                <w:szCs w:val="18"/>
                              </w:rPr>
                              <w:t>摇瓶培养</w:t>
                            </w:r>
                            <w:r>
                              <w:rPr>
                                <w:rFonts w:ascii="Times New Roman" w:hAnsi="Times New Roman" w:eastAsia="微软雅黑" w:cs="Times New Roman"/>
                                <w:sz w:val="18"/>
                                <w:szCs w:val="18"/>
                              </w:rPr>
                              <w:t>5~7</w:t>
                            </w:r>
                            <w:r>
                              <w:rPr>
                                <w:rFonts w:ascii="Times New Roman" w:hAnsi="微软雅黑" w:eastAsia="微软雅黑" w:cs="Times New Roman"/>
                                <w:sz w:val="18"/>
                                <w:szCs w:val="18"/>
                              </w:rPr>
                              <w:t>天，收获上清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85pt;margin-top:282pt;height:57pt;width:75.3pt;z-index:251659264;mso-width-relative:page;mso-height-relative:page;" fillcolor="#FFFFFF" filled="t" stroked="f" coordsize="21600,21600" o:gfxdata="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Uc8mHZAAAACwEAAA8AAAAAAAAAAQAgAAAAIgAA&#10;AGRycy9kb3ducmV2LnhtbFBLAQIUABQAAAAIAIdO4kC5Qgt0zgEAAJADAAAOAAAAAAAAAAEAIAAA&#10;ACgBAABkcnMvZTJvRG9jLnhtbFBLBQYAAAAABgAGAFkBAABo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4BFEB72">
                      <w:pPr>
                        <w:spacing w:line="240" w:lineRule="auto"/>
                        <w:ind w:firstLine="0" w:firstLineChars="0"/>
                        <w:rPr>
                          <w:rFonts w:ascii="Times New Roman" w:hAnsi="Times New Roman" w:eastAsia="微软雅黑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微软雅黑" w:eastAsia="微软雅黑" w:cs="Times New Roman"/>
                          <w:sz w:val="18"/>
                          <w:szCs w:val="18"/>
                        </w:rPr>
                        <w:t>摇瓶培养</w:t>
                      </w:r>
                      <w:r>
                        <w:rPr>
                          <w:rFonts w:ascii="Times New Roman" w:hAnsi="Times New Roman" w:eastAsia="微软雅黑" w:cs="Times New Roman"/>
                          <w:sz w:val="18"/>
                          <w:szCs w:val="18"/>
                        </w:rPr>
                        <w:t>5~7</w:t>
                      </w:r>
                      <w:r>
                        <w:rPr>
                          <w:rFonts w:ascii="Times New Roman" w:hAnsi="微软雅黑" w:eastAsia="微软雅黑" w:cs="Times New Roman"/>
                          <w:sz w:val="18"/>
                          <w:szCs w:val="18"/>
                        </w:rPr>
                        <w:t>天，收获上清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Cs w:val="24"/>
        </w:rPr>
        <w:drawing>
          <wp:inline distT="0" distB="0" distL="0" distR="0">
            <wp:extent cx="4691380" cy="4829175"/>
            <wp:effectExtent l="19050" t="0" r="0" b="0"/>
            <wp:docPr id="1" name="图片 1" descr="C:\Users\dell\AppData\Local\Temp\360zip$Temp\360$0\转染步骤截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AppData\Local\Temp\360zip$Temp\360$0\转染步骤截图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1380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8027AD">
      <w:pPr>
        <w:tabs>
          <w:tab w:val="left" w:pos="1800"/>
          <w:tab w:val="left" w:pos="3449"/>
        </w:tabs>
        <w:ind w:firstLine="4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图1：质粒-载体复合物的</w:t>
      </w:r>
      <w:r>
        <w:rPr>
          <w:rFonts w:hint="eastAsia" w:ascii="Times New Roman" w:hAnsi="Times New Roman" w:cs="Times New Roman"/>
          <w:sz w:val="20"/>
          <w:szCs w:val="20"/>
        </w:rPr>
        <w:t>配制</w:t>
      </w:r>
      <w:r>
        <w:rPr>
          <w:rFonts w:ascii="Times New Roman" w:hAnsi="Times New Roman" w:cs="Times New Roman"/>
          <w:sz w:val="20"/>
          <w:szCs w:val="20"/>
        </w:rPr>
        <w:t>及蛋白表达</w:t>
      </w:r>
    </w:p>
    <w:tbl>
      <w:tblPr>
        <w:tblStyle w:val="10"/>
        <w:tblpPr w:leftFromText="180" w:rightFromText="180" w:vertAnchor="text" w:horzAnchor="page" w:tblpX="1186" w:tblpY="290"/>
        <w:tblOverlap w:val="never"/>
        <w:tblW w:w="9962" w:type="dxa"/>
        <w:tblInd w:w="0" w:type="dxa"/>
        <w:tblBorders>
          <w:top w:val="dashed" w:color="7E7E7E" w:themeColor="text1" w:themeTint="80" w:sz="12" w:space="0"/>
          <w:left w:val="dashed" w:color="7E7E7E" w:themeColor="text1" w:themeTint="80" w:sz="12" w:space="0"/>
          <w:bottom w:val="dashed" w:color="7E7E7E" w:themeColor="text1" w:themeTint="80" w:sz="12" w:space="0"/>
          <w:right w:val="dashed" w:color="7E7E7E" w:themeColor="text1" w:themeTint="80" w:sz="12" w:space="0"/>
          <w:insideH w:val="dashed" w:color="7E7E7E" w:themeColor="text1" w:themeTint="80" w:sz="12" w:space="0"/>
          <w:insideV w:val="dashed" w:color="7E7E7E" w:themeColor="text1" w:themeTint="8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4AF5F087">
        <w:tblPrEx>
          <w:tblBorders>
            <w:top w:val="dashed" w:color="7E7E7E" w:themeColor="text1" w:themeTint="80" w:sz="12" w:space="0"/>
            <w:left w:val="dashed" w:color="7E7E7E" w:themeColor="text1" w:themeTint="80" w:sz="12" w:space="0"/>
            <w:bottom w:val="dashed" w:color="7E7E7E" w:themeColor="text1" w:themeTint="80" w:sz="12" w:space="0"/>
            <w:right w:val="dashed" w:color="7E7E7E" w:themeColor="text1" w:themeTint="80" w:sz="12" w:space="0"/>
            <w:insideH w:val="dashed" w:color="7E7E7E" w:themeColor="text1" w:themeTint="80" w:sz="12" w:space="0"/>
            <w:insideV w:val="dashed" w:color="7E7E7E" w:themeColor="text1" w:themeTint="8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 w14:paraId="1E824685">
            <w:pPr>
              <w:widowControl/>
              <w:adjustRightInd w:val="0"/>
              <w:snapToGrid w:val="0"/>
              <w:ind w:firstLine="36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操作要点及注意事项：</w:t>
            </w:r>
          </w:p>
          <w:p w14:paraId="12C0B529">
            <w:pPr>
              <w:pStyle w:val="12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KPM的使用总量为细胞悬液的1/10；质粒使用量为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18"/>
                <w:szCs w:val="18"/>
              </w:rPr>
              <w:t>μg/ml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（DNA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细胞培养液体积）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；</w:t>
            </w:r>
          </w:p>
          <w:p w14:paraId="2DD829F9">
            <w:pPr>
              <w:pStyle w:val="12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质粒：转染试剂的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质量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比例可为1：3、1：4、1：5、1：6，多数质粒比例使用1：5效果最好，客户可根据自己的实际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经验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进行条件摸索，但不建议使用低于1：3或高于1：8的比例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；</w:t>
            </w:r>
          </w:p>
          <w:p w14:paraId="3E1A0901">
            <w:pPr>
              <w:pStyle w:val="12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TA-293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（浓度为1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μg/μ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l）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为白色悬浊液，使用前需摇匀或吹打均匀；</w:t>
            </w:r>
          </w:p>
          <w:p w14:paraId="494A2A57">
            <w:pPr>
              <w:pStyle w:val="12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质粒-转染试剂孵育时请勿摇晃，剧烈震荡可能会导致孵育失败；</w:t>
            </w:r>
          </w:p>
          <w:p w14:paraId="1B10A079">
            <w:pPr>
              <w:pStyle w:val="12"/>
              <w:widowControl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质粒-载体复合物制备好后再从摇床中取出细胞，边摇边滴加复合物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，不要过早将细胞从摇床中取出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。</w:t>
            </w:r>
          </w:p>
        </w:tc>
      </w:tr>
    </w:tbl>
    <w:p w14:paraId="1CBC41BB">
      <w:pPr>
        <w:tabs>
          <w:tab w:val="left" w:pos="1800"/>
          <w:tab w:val="left" w:pos="3449"/>
        </w:tabs>
        <w:ind w:firstLine="400"/>
        <w:jc w:val="center"/>
        <w:rPr>
          <w:rFonts w:ascii="Times New Roman" w:hAnsi="Times New Roman" w:cs="Times New Roman"/>
          <w:sz w:val="20"/>
          <w:szCs w:val="20"/>
        </w:rPr>
      </w:pPr>
    </w:p>
    <w:p w14:paraId="0B539E8A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产物表达与检测</w:t>
      </w:r>
    </w:p>
    <w:p w14:paraId="4EB3EF35">
      <w:pPr>
        <w:pStyle w:val="12"/>
        <w:widowControl/>
        <w:numPr>
          <w:ilvl w:val="0"/>
          <w:numId w:val="8"/>
        </w:numPr>
        <w:adjustRightInd w:val="0"/>
        <w:snapToGrid w:val="0"/>
        <w:ind w:left="0" w:firstLine="0" w:firstLine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转染24小时后可加入600 μl 293细胞蛋白表达增强剂（KE-293），以增加产物表达量</w:t>
      </w:r>
      <w:r>
        <w:rPr>
          <w:rFonts w:hint="eastAsia" w:ascii="Times New Roman" w:hAnsi="Times New Roman" w:cs="Times New Roman"/>
          <w:szCs w:val="24"/>
        </w:rPr>
        <w:t>；</w:t>
      </w:r>
    </w:p>
    <w:p w14:paraId="45BF8797">
      <w:pPr>
        <w:pStyle w:val="12"/>
        <w:widowControl/>
        <w:numPr>
          <w:ilvl w:val="0"/>
          <w:numId w:val="8"/>
        </w:numPr>
        <w:adjustRightInd w:val="0"/>
        <w:snapToGrid w:val="0"/>
        <w:ind w:left="0" w:firstLine="0" w:firstLine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瞬时转染营养添加剂(KT-Feed 50×)可提高产物的表达量，</w:t>
      </w:r>
      <w:r>
        <w:rPr>
          <w:rFonts w:hint="eastAsia" w:ascii="Times New Roman" w:hAnsi="Times New Roman" w:cs="Times New Roman"/>
          <w:szCs w:val="24"/>
        </w:rPr>
        <w:t>可在</w:t>
      </w:r>
      <w:r>
        <w:rPr>
          <w:rFonts w:ascii="Times New Roman" w:hAnsi="Times New Roman" w:cs="Times New Roman"/>
          <w:szCs w:val="24"/>
        </w:rPr>
        <w:t>转染24</w:t>
      </w:r>
      <w:r>
        <w:rPr>
          <w:rFonts w:hint="eastAsia" w:ascii="Times New Roman" w:hAnsi="Times New Roman" w:cs="Times New Roman"/>
          <w:szCs w:val="24"/>
        </w:rPr>
        <w:t>小时</w:t>
      </w:r>
      <w:r>
        <w:rPr>
          <w:rFonts w:ascii="Times New Roman" w:hAnsi="Times New Roman" w:cs="Times New Roman"/>
          <w:szCs w:val="24"/>
        </w:rPr>
        <w:t>后添加一次</w:t>
      </w:r>
      <w:r>
        <w:rPr>
          <w:rFonts w:hint="eastAsia" w:ascii="Times New Roman" w:hAnsi="Times New Roman" w:cs="Times New Roman"/>
          <w:szCs w:val="24"/>
        </w:rPr>
        <w:t>；</w:t>
      </w:r>
    </w:p>
    <w:p w14:paraId="422EAFD2">
      <w:pPr>
        <w:pStyle w:val="12"/>
        <w:widowControl/>
        <w:numPr>
          <w:ilvl w:val="0"/>
          <w:numId w:val="8"/>
        </w:numPr>
        <w:adjustRightInd w:val="0"/>
        <w:snapToGrid w:val="0"/>
        <w:ind w:left="0" w:firstLine="0" w:firstLine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转染后第6天测定产物表达量；</w:t>
      </w:r>
    </w:p>
    <w:p w14:paraId="2597EB42">
      <w:pPr>
        <w:pStyle w:val="12"/>
        <w:widowControl/>
        <w:numPr>
          <w:ilvl w:val="0"/>
          <w:numId w:val="8"/>
        </w:numPr>
        <w:adjustRightInd w:val="0"/>
        <w:snapToGrid w:val="0"/>
        <w:ind w:left="0" w:firstLine="0" w:firstLine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多数</w:t>
      </w:r>
      <w:r>
        <w:rPr>
          <w:rFonts w:hint="eastAsia" w:ascii="Times New Roman" w:hAnsi="Times New Roman" w:cs="Times New Roman"/>
          <w:szCs w:val="24"/>
        </w:rPr>
        <w:t>重组</w:t>
      </w:r>
      <w:r>
        <w:rPr>
          <w:rFonts w:ascii="Times New Roman" w:hAnsi="Times New Roman" w:cs="Times New Roman"/>
          <w:szCs w:val="24"/>
        </w:rPr>
        <w:t>蛋白的</w:t>
      </w:r>
      <w:r>
        <w:rPr>
          <w:rFonts w:hint="eastAsia" w:ascii="Times New Roman" w:hAnsi="Times New Roman" w:cs="Times New Roman"/>
          <w:szCs w:val="24"/>
        </w:rPr>
        <w:t>表达量</w:t>
      </w:r>
      <w:r>
        <w:rPr>
          <w:rFonts w:ascii="Times New Roman" w:hAnsi="Times New Roman" w:cs="Times New Roman"/>
          <w:szCs w:val="24"/>
        </w:rPr>
        <w:t>在转染后第6天左右可达到最高值，</w:t>
      </w:r>
      <w:r>
        <w:rPr>
          <w:rFonts w:hint="eastAsia" w:ascii="Times New Roman" w:hAnsi="Times New Roman" w:cs="Times New Roman"/>
          <w:szCs w:val="24"/>
        </w:rPr>
        <w:t>客户可根据细胞状态及表达量选择适宜的收获时间。</w:t>
      </w:r>
    </w:p>
    <w:p w14:paraId="3785201E">
      <w:pPr>
        <w:widowControl/>
        <w:adjustRightInd w:val="0"/>
        <w:snapToGrid w:val="0"/>
        <w:ind w:firstLine="480"/>
        <w:rPr>
          <w:rFonts w:ascii="Times New Roman" w:hAnsi="Times New Roman" w:cs="Times New Roman"/>
          <w:szCs w:val="24"/>
        </w:rPr>
      </w:pPr>
    </w:p>
    <w:tbl>
      <w:tblPr>
        <w:tblStyle w:val="10"/>
        <w:tblW w:w="9962" w:type="dxa"/>
        <w:tblInd w:w="0" w:type="dxa"/>
        <w:tblBorders>
          <w:top w:val="dashed" w:color="7E7E7E" w:themeColor="text1" w:themeTint="80" w:sz="12" w:space="0"/>
          <w:left w:val="dashed" w:color="7E7E7E" w:themeColor="text1" w:themeTint="80" w:sz="12" w:space="0"/>
          <w:bottom w:val="dashed" w:color="7E7E7E" w:themeColor="text1" w:themeTint="80" w:sz="12" w:space="0"/>
          <w:right w:val="dashed" w:color="7E7E7E" w:themeColor="text1" w:themeTint="80" w:sz="12" w:space="0"/>
          <w:insideH w:val="dashed" w:color="7E7E7E" w:themeColor="text1" w:themeTint="80" w:sz="12" w:space="0"/>
          <w:insideV w:val="dashed" w:color="7E7E7E" w:themeColor="text1" w:themeTint="8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2975D8EE">
        <w:tblPrEx>
          <w:tblBorders>
            <w:top w:val="dashed" w:color="7E7E7E" w:themeColor="text1" w:themeTint="80" w:sz="12" w:space="0"/>
            <w:left w:val="dashed" w:color="7E7E7E" w:themeColor="text1" w:themeTint="80" w:sz="12" w:space="0"/>
            <w:bottom w:val="dashed" w:color="7E7E7E" w:themeColor="text1" w:themeTint="80" w:sz="12" w:space="0"/>
            <w:right w:val="dashed" w:color="7E7E7E" w:themeColor="text1" w:themeTint="80" w:sz="12" w:space="0"/>
            <w:insideH w:val="dashed" w:color="7E7E7E" w:themeColor="text1" w:themeTint="80" w:sz="12" w:space="0"/>
            <w:insideV w:val="dashed" w:color="7E7E7E" w:themeColor="text1" w:themeTint="8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 w14:paraId="2F8F5EBD">
            <w:pPr>
              <w:widowControl/>
              <w:adjustRightInd w:val="0"/>
              <w:snapToGrid w:val="0"/>
              <w:ind w:firstLine="36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操作要点及注意事项：</w:t>
            </w:r>
          </w:p>
          <w:p w14:paraId="5E8405F6">
            <w:pPr>
              <w:pStyle w:val="12"/>
              <w:numPr>
                <w:ilvl w:val="0"/>
                <w:numId w:val="9"/>
              </w:numPr>
              <w:ind w:left="357" w:hanging="357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KE-293原液浓度为100%，工作浓度为0.6%，添加后细胞生长速度可能变缓，此为正常现象；</w:t>
            </w:r>
          </w:p>
          <w:p w14:paraId="6A810E1B">
            <w:pPr>
              <w:pStyle w:val="12"/>
              <w:numPr>
                <w:ilvl w:val="0"/>
                <w:numId w:val="9"/>
              </w:numPr>
              <w:ind w:left="357" w:hanging="357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KT-Feed是含有植物水解物的营养添加剂，可选择性添加，以补充培养基中消耗的营养成分，从而提高蛋白表达量；</w:t>
            </w:r>
          </w:p>
          <w:p w14:paraId="54D44F0E">
            <w:pPr>
              <w:pStyle w:val="12"/>
              <w:numPr>
                <w:ilvl w:val="0"/>
                <w:numId w:val="9"/>
              </w:numPr>
              <w:ind w:left="357" w:hanging="357" w:firstLineChars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用户在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根据细胞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存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活率收获上清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，建议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不要在细胞存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活率低于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以下时收获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。</w:t>
            </w:r>
          </w:p>
        </w:tc>
      </w:tr>
    </w:tbl>
    <w:p w14:paraId="29E5F137">
      <w:pPr>
        <w:pStyle w:val="2"/>
        <w:numPr>
          <w:ilvl w:val="0"/>
          <w:numId w:val="1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常见问题及解决方法</w:t>
      </w:r>
    </w:p>
    <w:p w14:paraId="6B7E0B84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3.1 转染效率低</w:t>
      </w:r>
    </w:p>
    <w:p w14:paraId="10D7C2D6">
      <w:pPr>
        <w:ind w:firstLine="480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经反复多次实验鉴定，对于生长状态正常的HEK293细胞，</w:t>
      </w:r>
      <w:r>
        <w:rPr>
          <w:rFonts w:ascii="Times New Roman" w:hAnsi="Times New Roman" w:cs="Times New Roman"/>
          <w:szCs w:val="24"/>
        </w:rPr>
        <w:t>本转染系统转染荧光蛋白表达质粒</w:t>
      </w:r>
      <w:r>
        <w:rPr>
          <w:rFonts w:hint="eastAsia" w:ascii="Times New Roman" w:hAnsi="Times New Roman" w:cs="Times New Roman"/>
          <w:szCs w:val="24"/>
        </w:rPr>
        <w:t>，4</w:t>
      </w:r>
      <w:r>
        <w:rPr>
          <w:rFonts w:ascii="Times New Roman" w:hAnsi="Times New Roman" w:cs="Times New Roman"/>
          <w:szCs w:val="24"/>
        </w:rPr>
        <w:t>8</w:t>
      </w:r>
      <w:r>
        <w:rPr>
          <w:rFonts w:hint="eastAsia" w:ascii="Times New Roman" w:hAnsi="Times New Roman" w:cs="Times New Roman"/>
          <w:szCs w:val="24"/>
        </w:rPr>
        <w:t>h左右的转染</w:t>
      </w:r>
      <w:r>
        <w:rPr>
          <w:rFonts w:ascii="Times New Roman" w:hAnsi="Times New Roman" w:cs="Times New Roman"/>
          <w:szCs w:val="24"/>
        </w:rPr>
        <w:t>效率一般稳定在60%~80%，</w:t>
      </w:r>
      <w:r>
        <w:rPr>
          <w:rFonts w:hint="eastAsia" w:ascii="Times New Roman" w:hAnsi="Times New Roman" w:cs="Times New Roman"/>
          <w:szCs w:val="24"/>
        </w:rPr>
        <w:t>当出现</w:t>
      </w:r>
      <w:r>
        <w:rPr>
          <w:rFonts w:ascii="Times New Roman" w:hAnsi="Times New Roman" w:cs="Times New Roman"/>
          <w:szCs w:val="24"/>
        </w:rPr>
        <w:t>过低转染效率</w:t>
      </w:r>
      <w:r>
        <w:rPr>
          <w:rFonts w:hint="eastAsia" w:ascii="Times New Roman" w:hAnsi="Times New Roman" w:cs="Times New Roman"/>
          <w:szCs w:val="24"/>
        </w:rPr>
        <w:t>时其</w:t>
      </w:r>
      <w:r>
        <w:rPr>
          <w:rFonts w:ascii="Times New Roman" w:hAnsi="Times New Roman" w:cs="Times New Roman"/>
          <w:szCs w:val="24"/>
        </w:rPr>
        <w:t>可能</w:t>
      </w:r>
      <w:r>
        <w:rPr>
          <w:rFonts w:hint="eastAsia" w:ascii="Times New Roman" w:hAnsi="Times New Roman" w:cs="Times New Roman"/>
          <w:szCs w:val="24"/>
        </w:rPr>
        <w:t>原因有如下几点</w:t>
      </w:r>
      <w:r>
        <w:rPr>
          <w:rFonts w:ascii="Times New Roman" w:hAnsi="Times New Roman" w:cs="Times New Roman"/>
          <w:szCs w:val="24"/>
        </w:rPr>
        <w:t>：</w:t>
      </w:r>
    </w:p>
    <w:p w14:paraId="6CE38A05">
      <w:pPr>
        <w:pStyle w:val="12"/>
        <w:numPr>
          <w:ilvl w:val="0"/>
          <w:numId w:val="10"/>
        </w:numPr>
        <w:ind w:left="0" w:firstLine="0" w:firstLine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细胞</w:t>
      </w:r>
      <w:r>
        <w:rPr>
          <w:rFonts w:hint="eastAsia" w:ascii="Times New Roman" w:hAnsi="Times New Roman" w:cs="Times New Roman"/>
          <w:szCs w:val="24"/>
        </w:rPr>
        <w:t>存活</w:t>
      </w:r>
      <w:r>
        <w:rPr>
          <w:rFonts w:ascii="Times New Roman" w:hAnsi="Times New Roman" w:cs="Times New Roman"/>
          <w:szCs w:val="24"/>
        </w:rPr>
        <w:t>率低于9</w:t>
      </w:r>
      <w:r>
        <w:rPr>
          <w:rFonts w:hint="eastAsia"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>%；</w:t>
      </w:r>
    </w:p>
    <w:p w14:paraId="0C6BF5D5">
      <w:pPr>
        <w:pStyle w:val="12"/>
        <w:numPr>
          <w:ilvl w:val="0"/>
          <w:numId w:val="10"/>
        </w:numPr>
        <w:ind w:left="0" w:firstLine="0" w:firstLine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细胞增</w:t>
      </w:r>
      <w:r>
        <w:rPr>
          <w:rFonts w:hint="eastAsia" w:ascii="Times New Roman" w:hAnsi="Times New Roman" w:cs="Times New Roman"/>
          <w:szCs w:val="24"/>
        </w:rPr>
        <w:t>长</w:t>
      </w:r>
      <w:r>
        <w:rPr>
          <w:rFonts w:ascii="Times New Roman" w:hAnsi="Times New Roman" w:cs="Times New Roman"/>
          <w:szCs w:val="24"/>
        </w:rPr>
        <w:t>速度过慢；</w:t>
      </w:r>
    </w:p>
    <w:p w14:paraId="673EA4B5">
      <w:pPr>
        <w:pStyle w:val="12"/>
        <w:numPr>
          <w:ilvl w:val="0"/>
          <w:numId w:val="10"/>
        </w:numPr>
        <w:ind w:left="0" w:firstLine="0" w:firstLine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细胞转染前结团</w:t>
      </w:r>
      <w:r>
        <w:rPr>
          <w:rFonts w:hint="eastAsia" w:ascii="Times New Roman" w:hAnsi="Times New Roman" w:cs="Times New Roman"/>
          <w:szCs w:val="24"/>
        </w:rPr>
        <w:t>（正常生长的细胞在</w:t>
      </w:r>
      <w:r>
        <w:rPr>
          <w:rFonts w:ascii="Times New Roman" w:hAnsi="Times New Roman" w:cs="Times New Roman"/>
          <w:szCs w:val="24"/>
        </w:rPr>
        <w:t>KOP293培养液</w:t>
      </w:r>
      <w:r>
        <w:rPr>
          <w:rFonts w:hint="eastAsia" w:ascii="Times New Roman" w:hAnsi="Times New Roman" w:cs="Times New Roman"/>
          <w:szCs w:val="24"/>
        </w:rPr>
        <w:t>中</w:t>
      </w:r>
      <w:r>
        <w:rPr>
          <w:rFonts w:ascii="Times New Roman" w:hAnsi="Times New Roman" w:cs="Times New Roman"/>
          <w:szCs w:val="24"/>
        </w:rPr>
        <w:t>一般不存在结团现象，结团可能是培养液中混入其它物质</w:t>
      </w:r>
      <w:r>
        <w:rPr>
          <w:rFonts w:hint="eastAsia" w:ascii="Times New Roman" w:hAnsi="Times New Roman" w:cs="Times New Roman"/>
          <w:szCs w:val="24"/>
        </w:rPr>
        <w:t>或由大量死亡细胞及细胞分泌物等造成）；</w:t>
      </w:r>
    </w:p>
    <w:p w14:paraId="6442A88E">
      <w:pPr>
        <w:pStyle w:val="12"/>
        <w:numPr>
          <w:ilvl w:val="0"/>
          <w:numId w:val="10"/>
        </w:numPr>
        <w:ind w:left="0" w:firstLine="0" w:firstLine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使用的质粒DNA含有过多的蛋白质或其它物质，或含有过多的内毒素；</w:t>
      </w:r>
    </w:p>
    <w:p w14:paraId="5DB7B9DC">
      <w:pPr>
        <w:pStyle w:val="12"/>
        <w:numPr>
          <w:ilvl w:val="0"/>
          <w:numId w:val="10"/>
        </w:numPr>
        <w:ind w:left="0" w:firstLine="0" w:firstLine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质粒与转染试剂的比例不当。不同质粒可能需要使用不同比例的转染试剂，范围</w:t>
      </w:r>
      <w:r>
        <w:rPr>
          <w:rFonts w:hint="eastAsia" w:ascii="Times New Roman" w:hAnsi="Times New Roman" w:cs="Times New Roman"/>
          <w:szCs w:val="24"/>
        </w:rPr>
        <w:t>一般</w:t>
      </w:r>
      <w:r>
        <w:rPr>
          <w:rFonts w:ascii="Times New Roman" w:hAnsi="Times New Roman" w:cs="Times New Roman"/>
          <w:szCs w:val="24"/>
        </w:rPr>
        <w:t>在1:3至1:7之间；</w:t>
      </w:r>
    </w:p>
    <w:p w14:paraId="72917220">
      <w:pPr>
        <w:pStyle w:val="12"/>
        <w:numPr>
          <w:ilvl w:val="0"/>
          <w:numId w:val="10"/>
        </w:numPr>
        <w:ind w:left="0" w:firstLine="0" w:firstLine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KPM体积使用不当。每100ml细胞悬液加入KPM的体积为10ml，即比例为10:1。</w:t>
      </w:r>
    </w:p>
    <w:p w14:paraId="691C979E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3.2 转染后细胞存活率降低</w:t>
      </w:r>
    </w:p>
    <w:p w14:paraId="4E3DC5D6">
      <w:pPr>
        <w:ind w:firstLine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转染后细胞存活率降低属于正常现象，转染6天</w:t>
      </w:r>
      <w:r>
        <w:rPr>
          <w:rFonts w:hint="eastAsia" w:ascii="Times New Roman" w:hAnsi="Times New Roman" w:cs="Times New Roman"/>
          <w:szCs w:val="24"/>
        </w:rPr>
        <w:t>后</w:t>
      </w:r>
      <w:r>
        <w:rPr>
          <w:rFonts w:ascii="Times New Roman" w:hAnsi="Times New Roman" w:cs="Times New Roman"/>
          <w:szCs w:val="24"/>
        </w:rPr>
        <w:t>的存活率一般在80%以上。客户可适当增加转染后的细胞培养天数，以尝试增加蛋白表达量，但尽量不要让细胞</w:t>
      </w:r>
      <w:r>
        <w:rPr>
          <w:rFonts w:hint="eastAsia" w:ascii="Times New Roman" w:hAnsi="Times New Roman" w:cs="Times New Roman"/>
          <w:szCs w:val="24"/>
        </w:rPr>
        <w:t>存活率</w:t>
      </w:r>
      <w:r>
        <w:rPr>
          <w:rFonts w:ascii="Times New Roman" w:hAnsi="Times New Roman" w:cs="Times New Roman"/>
          <w:szCs w:val="24"/>
        </w:rPr>
        <w:t>低于70%。</w:t>
      </w:r>
    </w:p>
    <w:p w14:paraId="563A90D6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3.3转染后细胞结团</w:t>
      </w:r>
    </w:p>
    <w:p w14:paraId="1D81EEA2">
      <w:pPr>
        <w:ind w:firstLine="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Cs w:val="24"/>
        </w:rPr>
        <w:t>若转染后出现松散的细胞结团</w:t>
      </w:r>
      <w:r>
        <w:rPr>
          <w:rFonts w:hint="eastAsia" w:ascii="Times New Roman" w:hAnsi="Times New Roman" w:cs="Times New Roman"/>
          <w:szCs w:val="24"/>
        </w:rPr>
        <w:t>现象</w:t>
      </w:r>
      <w:r>
        <w:rPr>
          <w:rFonts w:ascii="Times New Roman" w:hAnsi="Times New Roman" w:cs="Times New Roman"/>
          <w:szCs w:val="24"/>
        </w:rPr>
        <w:t>，可能是细胞成团粘附于瓶壁上并在震动中脱落下来</w:t>
      </w:r>
      <w:r>
        <w:rPr>
          <w:rFonts w:hint="eastAsia" w:ascii="Times New Roman" w:hAnsi="Times New Roman" w:cs="Times New Roman"/>
          <w:szCs w:val="24"/>
        </w:rPr>
        <w:t>所致</w:t>
      </w:r>
      <w:r>
        <w:rPr>
          <w:rFonts w:ascii="Times New Roman" w:hAnsi="Times New Roman" w:cs="Times New Roman"/>
          <w:szCs w:val="24"/>
        </w:rPr>
        <w:t>，这种情况多数是摇瓶</w:t>
      </w:r>
      <w:r>
        <w:rPr>
          <w:rFonts w:hint="eastAsia" w:ascii="Times New Roman" w:hAnsi="Times New Roman" w:cs="Times New Roman"/>
          <w:szCs w:val="24"/>
        </w:rPr>
        <w:t>经反复使用后未清洁干净</w:t>
      </w:r>
      <w:r>
        <w:rPr>
          <w:rFonts w:ascii="Times New Roman" w:hAnsi="Times New Roman" w:cs="Times New Roman"/>
          <w:szCs w:val="24"/>
        </w:rPr>
        <w:t>或细胞</w:t>
      </w:r>
      <w:r>
        <w:rPr>
          <w:rFonts w:hint="eastAsia" w:ascii="Times New Roman" w:hAnsi="Times New Roman" w:cs="Times New Roman"/>
          <w:szCs w:val="24"/>
        </w:rPr>
        <w:t>存活率</w:t>
      </w:r>
      <w:r>
        <w:rPr>
          <w:rFonts w:ascii="Times New Roman" w:hAnsi="Times New Roman" w:cs="Times New Roman"/>
          <w:szCs w:val="24"/>
        </w:rPr>
        <w:t>低而引起。如果出现规整致密的结团</w:t>
      </w:r>
      <w:r>
        <w:rPr>
          <w:rFonts w:hint="eastAsia" w:ascii="Times New Roman" w:hAnsi="Times New Roman" w:cs="Times New Roman"/>
          <w:szCs w:val="24"/>
        </w:rPr>
        <w:t>现象</w:t>
      </w:r>
      <w:r>
        <w:rPr>
          <w:rFonts w:ascii="Times New Roman" w:hAnsi="Times New Roman" w:cs="Times New Roman"/>
          <w:szCs w:val="24"/>
        </w:rPr>
        <w:t>，则可能是转染过程中使用了非KPM缓冲体系。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FF875AB">
      <w:pPr>
        <w:ind w:firstLineChars="7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附录</w:t>
      </w:r>
    </w:p>
    <w:p w14:paraId="4F529218">
      <w:pPr>
        <w:ind w:firstLine="48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表1：试剂清单</w:t>
      </w:r>
    </w:p>
    <w:tbl>
      <w:tblPr>
        <w:tblStyle w:val="10"/>
        <w:tblW w:w="9956" w:type="dxa"/>
        <w:jc w:val="center"/>
        <w:tblBorders>
          <w:top w:val="single" w:color="4F81BD" w:themeColor="accent1" w:sz="12" w:space="0"/>
          <w:left w:val="none" w:color="auto" w:sz="0" w:space="0"/>
          <w:bottom w:val="single" w:color="4F81BD" w:themeColor="accent1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103"/>
        <w:gridCol w:w="1559"/>
        <w:gridCol w:w="1734"/>
      </w:tblGrid>
      <w:tr w14:paraId="7263CEE5">
        <w:tblPrEx>
          <w:tblBorders>
            <w:top w:val="single" w:color="4F81BD" w:themeColor="accent1" w:sz="12" w:space="0"/>
            <w:left w:val="none" w:color="auto" w:sz="0" w:space="0"/>
            <w:bottom w:val="single" w:color="4F81BD" w:themeColor="accent1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4F81BD" w:themeColor="accent1" w:sz="12" w:space="0"/>
              <w:bottom w:val="single" w:color="4F81BD" w:themeColor="accent1" w:sz="4" w:space="0"/>
            </w:tcBorders>
            <w:vAlign w:val="center"/>
          </w:tcPr>
          <w:p w14:paraId="34A9AF8F">
            <w:pPr>
              <w:ind w:firstLine="0" w:firstLineChars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产品名称</w:t>
            </w:r>
          </w:p>
        </w:tc>
        <w:tc>
          <w:tcPr>
            <w:tcW w:w="5103" w:type="dxa"/>
            <w:tcBorders>
              <w:top w:val="single" w:color="4F81BD" w:themeColor="accent1" w:sz="12" w:space="0"/>
              <w:bottom w:val="single" w:color="4F81BD" w:themeColor="accent1" w:sz="4" w:space="0"/>
            </w:tcBorders>
            <w:vAlign w:val="center"/>
          </w:tcPr>
          <w:p w14:paraId="2C28EBAA">
            <w:pPr>
              <w:ind w:firstLine="4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Cs w:val="24"/>
              </w:rPr>
              <w:t>内容</w:t>
            </w:r>
          </w:p>
        </w:tc>
        <w:tc>
          <w:tcPr>
            <w:tcW w:w="1559" w:type="dxa"/>
            <w:tcBorders>
              <w:top w:val="single" w:color="4F81BD" w:themeColor="accent1" w:sz="12" w:space="0"/>
              <w:bottom w:val="single" w:color="4F81BD" w:themeColor="accent1" w:sz="4" w:space="0"/>
            </w:tcBorders>
            <w:vAlign w:val="center"/>
          </w:tcPr>
          <w:p w14:paraId="6644A6BB">
            <w:pPr>
              <w:ind w:firstLine="4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规格</w:t>
            </w:r>
          </w:p>
        </w:tc>
        <w:tc>
          <w:tcPr>
            <w:tcW w:w="1734" w:type="dxa"/>
            <w:tcBorders>
              <w:top w:val="single" w:color="4F81BD" w:themeColor="accent1" w:sz="12" w:space="0"/>
              <w:bottom w:val="single" w:color="4F81BD" w:themeColor="accent1" w:sz="4" w:space="0"/>
            </w:tcBorders>
            <w:vAlign w:val="center"/>
          </w:tcPr>
          <w:p w14:paraId="6B77D783">
            <w:pPr>
              <w:ind w:firstLine="4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储存条件</w:t>
            </w:r>
          </w:p>
        </w:tc>
      </w:tr>
      <w:tr w14:paraId="3068F375">
        <w:tblPrEx>
          <w:tblBorders>
            <w:top w:val="single" w:color="4F81BD" w:themeColor="accent1" w:sz="12" w:space="0"/>
            <w:left w:val="none" w:color="auto" w:sz="0" w:space="0"/>
            <w:bottom w:val="single" w:color="4F81BD" w:themeColor="accent1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4F81BD" w:themeColor="accent1" w:sz="4" w:space="0"/>
              <w:bottom w:val="dashed" w:color="auto" w:sz="4" w:space="0"/>
            </w:tcBorders>
            <w:vAlign w:val="center"/>
          </w:tcPr>
          <w:p w14:paraId="05B1E47F">
            <w:pPr>
              <w:ind w:firstLine="0" w:firstLineChars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KOP293</w:t>
            </w:r>
          </w:p>
        </w:tc>
        <w:tc>
          <w:tcPr>
            <w:tcW w:w="5103" w:type="dxa"/>
            <w:tcBorders>
              <w:top w:val="single" w:color="4F81BD" w:themeColor="accent1" w:sz="4" w:space="0"/>
              <w:bottom w:val="dashed" w:color="auto" w:sz="4" w:space="0"/>
            </w:tcBorders>
            <w:vAlign w:val="center"/>
          </w:tcPr>
          <w:p w14:paraId="21F15077">
            <w:pPr>
              <w:ind w:firstLine="4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293化学限定高密度无血清细胞培养液</w:t>
            </w:r>
          </w:p>
        </w:tc>
        <w:tc>
          <w:tcPr>
            <w:tcW w:w="1559" w:type="dxa"/>
            <w:tcBorders>
              <w:top w:val="single" w:color="4F81BD" w:themeColor="accent1" w:sz="4" w:space="0"/>
              <w:bottom w:val="dashed" w:color="auto" w:sz="4" w:space="0"/>
            </w:tcBorders>
            <w:vAlign w:val="center"/>
          </w:tcPr>
          <w:p w14:paraId="586D6EB5">
            <w:pPr>
              <w:ind w:firstLine="4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1000ml</w:t>
            </w:r>
          </w:p>
        </w:tc>
        <w:tc>
          <w:tcPr>
            <w:tcW w:w="1734" w:type="dxa"/>
            <w:tcBorders>
              <w:top w:val="single" w:color="4F81BD" w:themeColor="accent1" w:sz="4" w:space="0"/>
              <w:bottom w:val="dashed" w:color="auto" w:sz="4" w:space="0"/>
            </w:tcBorders>
            <w:vAlign w:val="center"/>
          </w:tcPr>
          <w:p w14:paraId="18D29C12">
            <w:pPr>
              <w:ind w:firstLine="4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2~8℃</w:t>
            </w:r>
          </w:p>
        </w:tc>
      </w:tr>
      <w:tr w14:paraId="19C8FDA9">
        <w:tblPrEx>
          <w:tblBorders>
            <w:top w:val="single" w:color="4F81BD" w:themeColor="accent1" w:sz="12" w:space="0"/>
            <w:left w:val="none" w:color="auto" w:sz="0" w:space="0"/>
            <w:bottom w:val="single" w:color="4F81BD" w:themeColor="accent1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vAlign w:val="center"/>
          </w:tcPr>
          <w:p w14:paraId="76E98946">
            <w:pPr>
              <w:ind w:firstLine="0" w:firstLineChars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KPM</w:t>
            </w:r>
          </w:p>
        </w:tc>
        <w:tc>
          <w:tcPr>
            <w:tcW w:w="5103" w:type="dxa"/>
            <w:vAlign w:val="center"/>
          </w:tcPr>
          <w:p w14:paraId="26F85B91">
            <w:pPr>
              <w:ind w:firstLine="4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无血清细胞转染缓冲溶液100ml</w:t>
            </w:r>
          </w:p>
        </w:tc>
        <w:tc>
          <w:tcPr>
            <w:tcW w:w="1559" w:type="dxa"/>
            <w:vAlign w:val="center"/>
          </w:tcPr>
          <w:p w14:paraId="7035655D">
            <w:pPr>
              <w:ind w:firstLine="4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100ml</w:t>
            </w:r>
          </w:p>
        </w:tc>
        <w:tc>
          <w:tcPr>
            <w:tcW w:w="1734" w:type="dxa"/>
            <w:vAlign w:val="center"/>
          </w:tcPr>
          <w:p w14:paraId="76A80214">
            <w:pPr>
              <w:ind w:firstLine="4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2~8℃</w:t>
            </w:r>
          </w:p>
        </w:tc>
      </w:tr>
      <w:tr w14:paraId="701583D8">
        <w:tblPrEx>
          <w:tblBorders>
            <w:top w:val="single" w:color="4F81BD" w:themeColor="accent1" w:sz="12" w:space="0"/>
            <w:left w:val="none" w:color="auto" w:sz="0" w:space="0"/>
            <w:bottom w:val="single" w:color="4F81BD" w:themeColor="accent1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vAlign w:val="center"/>
          </w:tcPr>
          <w:p w14:paraId="3014FB95">
            <w:pPr>
              <w:ind w:firstLine="0" w:firstLineChars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TA-293</w:t>
            </w:r>
          </w:p>
        </w:tc>
        <w:tc>
          <w:tcPr>
            <w:tcW w:w="5103" w:type="dxa"/>
            <w:vAlign w:val="center"/>
          </w:tcPr>
          <w:p w14:paraId="2BFB9DBB">
            <w:pPr>
              <w:ind w:firstLine="4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293细胞悬浮化学转染试剂</w:t>
            </w:r>
          </w:p>
        </w:tc>
        <w:tc>
          <w:tcPr>
            <w:tcW w:w="1559" w:type="dxa"/>
            <w:vAlign w:val="center"/>
          </w:tcPr>
          <w:p w14:paraId="053F57F6">
            <w:pPr>
              <w:ind w:firstLine="4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6ml</w:t>
            </w:r>
          </w:p>
        </w:tc>
        <w:tc>
          <w:tcPr>
            <w:tcW w:w="1734" w:type="dxa"/>
            <w:vAlign w:val="center"/>
          </w:tcPr>
          <w:p w14:paraId="09E5DF78">
            <w:pPr>
              <w:ind w:firstLine="4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-20℃</w:t>
            </w:r>
          </w:p>
        </w:tc>
      </w:tr>
      <w:tr w14:paraId="17F11399">
        <w:tblPrEx>
          <w:tblBorders>
            <w:top w:val="single" w:color="4F81BD" w:themeColor="accent1" w:sz="12" w:space="0"/>
            <w:left w:val="none" w:color="auto" w:sz="0" w:space="0"/>
            <w:bottom w:val="single" w:color="4F81BD" w:themeColor="accent1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560" w:type="dxa"/>
            <w:tcBorders>
              <w:bottom w:val="dashed" w:color="auto" w:sz="4" w:space="0"/>
            </w:tcBorders>
            <w:vAlign w:val="center"/>
          </w:tcPr>
          <w:p w14:paraId="5F1805E2">
            <w:pPr>
              <w:ind w:firstLine="0" w:firstLineChars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KE-293</w:t>
            </w:r>
          </w:p>
        </w:tc>
        <w:tc>
          <w:tcPr>
            <w:tcW w:w="5103" w:type="dxa"/>
            <w:tcBorders>
              <w:bottom w:val="dashed" w:color="auto" w:sz="4" w:space="0"/>
            </w:tcBorders>
            <w:vAlign w:val="center"/>
          </w:tcPr>
          <w:p w14:paraId="344C1F3E">
            <w:pPr>
              <w:ind w:firstLine="4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293细胞蛋白表达增强剂</w:t>
            </w:r>
          </w:p>
        </w:tc>
        <w:tc>
          <w:tcPr>
            <w:tcW w:w="1559" w:type="dxa"/>
            <w:tcBorders>
              <w:bottom w:val="dashed" w:color="auto" w:sz="4" w:space="0"/>
            </w:tcBorders>
            <w:vAlign w:val="center"/>
          </w:tcPr>
          <w:p w14:paraId="65EF9249">
            <w:pPr>
              <w:ind w:firstLine="4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6ml</w:t>
            </w:r>
          </w:p>
        </w:tc>
        <w:tc>
          <w:tcPr>
            <w:tcW w:w="1734" w:type="dxa"/>
            <w:tcBorders>
              <w:bottom w:val="dashed" w:color="auto" w:sz="4" w:space="0"/>
            </w:tcBorders>
            <w:vAlign w:val="center"/>
          </w:tcPr>
          <w:p w14:paraId="626ED240">
            <w:pPr>
              <w:ind w:firstLine="4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-20℃</w:t>
            </w:r>
          </w:p>
        </w:tc>
      </w:tr>
      <w:tr w14:paraId="7DB08ED7">
        <w:tblPrEx>
          <w:tblBorders>
            <w:top w:val="single" w:color="4F81BD" w:themeColor="accent1" w:sz="12" w:space="0"/>
            <w:left w:val="none" w:color="auto" w:sz="0" w:space="0"/>
            <w:bottom w:val="single" w:color="4F81BD" w:themeColor="accent1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60" w:type="dxa"/>
            <w:tcBorders>
              <w:top w:val="dashed" w:color="auto" w:sz="4" w:space="0"/>
              <w:bottom w:val="single" w:color="4F81BD" w:themeColor="accent1" w:sz="12" w:space="0"/>
            </w:tcBorders>
            <w:vAlign w:val="center"/>
          </w:tcPr>
          <w:p w14:paraId="73BFACB4">
            <w:pPr>
              <w:ind w:firstLine="0" w:firstLineChars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KT-Feed*</w:t>
            </w:r>
          </w:p>
        </w:tc>
        <w:tc>
          <w:tcPr>
            <w:tcW w:w="5103" w:type="dxa"/>
            <w:tcBorders>
              <w:top w:val="dashed" w:color="auto" w:sz="4" w:space="0"/>
              <w:bottom w:val="single" w:color="4F81BD" w:themeColor="accent1" w:sz="12" w:space="0"/>
            </w:tcBorders>
            <w:vAlign w:val="center"/>
          </w:tcPr>
          <w:p w14:paraId="15C10D56">
            <w:pPr>
              <w:ind w:firstLine="4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瞬时重组蛋白表达植物蛋白胨营养添加剂</w:t>
            </w:r>
          </w:p>
        </w:tc>
        <w:tc>
          <w:tcPr>
            <w:tcW w:w="1559" w:type="dxa"/>
            <w:tcBorders>
              <w:top w:val="dashed" w:color="auto" w:sz="4" w:space="0"/>
              <w:bottom w:val="single" w:color="4F81BD" w:themeColor="accent1" w:sz="12" w:space="0"/>
            </w:tcBorders>
            <w:vAlign w:val="center"/>
          </w:tcPr>
          <w:p w14:paraId="6BD01DB2">
            <w:pPr>
              <w:ind w:firstLine="4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100ml</w:t>
            </w:r>
          </w:p>
        </w:tc>
        <w:tc>
          <w:tcPr>
            <w:tcW w:w="1734" w:type="dxa"/>
            <w:tcBorders>
              <w:top w:val="dashed" w:color="auto" w:sz="4" w:space="0"/>
              <w:bottom w:val="single" w:color="4F81BD" w:themeColor="accent1" w:sz="12" w:space="0"/>
            </w:tcBorders>
            <w:vAlign w:val="center"/>
          </w:tcPr>
          <w:p w14:paraId="61334E98">
            <w:pPr>
              <w:ind w:firstLine="4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2~8℃</w:t>
            </w:r>
          </w:p>
        </w:tc>
      </w:tr>
    </w:tbl>
    <w:p w14:paraId="073FCACE">
      <w:pPr>
        <w:ind w:firstLine="36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>
        <w:rPr>
          <w:rFonts w:hint="eastAsia" w:ascii="Times New Roman" w:hAnsi="Times New Roman" w:cs="Times New Roman"/>
          <w:sz w:val="18"/>
          <w:szCs w:val="18"/>
        </w:rPr>
        <w:t>选择性试剂。非化学限定，不含血清及其它动物源成分</w:t>
      </w:r>
    </w:p>
    <w:p w14:paraId="66200E83">
      <w:pPr>
        <w:ind w:firstLine="482"/>
        <w:rPr>
          <w:rFonts w:ascii="Times New Roman" w:hAnsi="Times New Roman" w:cs="Times New Roman"/>
          <w:b/>
          <w:szCs w:val="24"/>
        </w:rPr>
      </w:pPr>
    </w:p>
    <w:p w14:paraId="5D3F7129">
      <w:pPr>
        <w:ind w:firstLine="48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表2：试剂说明</w:t>
      </w:r>
    </w:p>
    <w:tbl>
      <w:tblPr>
        <w:tblStyle w:val="10"/>
        <w:tblW w:w="9962" w:type="dxa"/>
        <w:jc w:val="center"/>
        <w:tblBorders>
          <w:top w:val="single" w:color="4F81BD" w:themeColor="accent1" w:sz="8" w:space="0"/>
          <w:left w:val="none" w:color="auto" w:sz="0" w:space="0"/>
          <w:bottom w:val="single" w:color="4F81BD" w:themeColor="accent1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78"/>
      </w:tblGrid>
      <w:tr w14:paraId="56192EDC">
        <w:tblPrEx>
          <w:tblBorders>
            <w:top w:val="single" w:color="4F81BD" w:themeColor="accent1" w:sz="8" w:space="0"/>
            <w:left w:val="none" w:color="auto" w:sz="0" w:space="0"/>
            <w:bottom w:val="single" w:color="4F81BD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4F81BD" w:themeColor="accent1" w:sz="12" w:space="0"/>
              <w:bottom w:val="single" w:color="4F81BD" w:themeColor="accent1" w:sz="12" w:space="0"/>
              <w:right w:val="single" w:color="4F81BD" w:themeColor="accent1" w:sz="8" w:space="0"/>
            </w:tcBorders>
            <w:vAlign w:val="center"/>
          </w:tcPr>
          <w:p w14:paraId="76CAB479">
            <w:pPr>
              <w:ind w:firstLine="0" w:firstLineChars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产品名称</w:t>
            </w:r>
          </w:p>
        </w:tc>
        <w:tc>
          <w:tcPr>
            <w:tcW w:w="8578" w:type="dxa"/>
            <w:tcBorders>
              <w:top w:val="single" w:color="4F81BD" w:themeColor="accent1" w:sz="12" w:space="0"/>
              <w:left w:val="single" w:color="4F81BD" w:themeColor="accent1" w:sz="8" w:space="0"/>
              <w:bottom w:val="single" w:color="4F81BD" w:themeColor="accent1" w:sz="12" w:space="0"/>
            </w:tcBorders>
            <w:vAlign w:val="center"/>
          </w:tcPr>
          <w:p w14:paraId="7FB99E7F">
            <w:pPr>
              <w:ind w:firstLine="4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说明</w:t>
            </w:r>
          </w:p>
        </w:tc>
      </w:tr>
      <w:tr w14:paraId="29D20CBA">
        <w:tblPrEx>
          <w:tblBorders>
            <w:top w:val="single" w:color="4F81BD" w:themeColor="accent1" w:sz="8" w:space="0"/>
            <w:left w:val="none" w:color="auto" w:sz="0" w:space="0"/>
            <w:bottom w:val="single" w:color="4F81BD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384" w:type="dxa"/>
            <w:tcBorders>
              <w:top w:val="single" w:color="4F81BD" w:themeColor="accent1" w:sz="12" w:space="0"/>
              <w:bottom w:val="single" w:color="4F81BD" w:themeColor="accent1" w:sz="8" w:space="0"/>
              <w:right w:val="single" w:color="4F81BD" w:themeColor="accent1" w:sz="8" w:space="0"/>
            </w:tcBorders>
            <w:vAlign w:val="center"/>
          </w:tcPr>
          <w:p w14:paraId="24FA602D">
            <w:pPr>
              <w:ind w:firstLine="0" w:firstLineChars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KOP293</w:t>
            </w:r>
          </w:p>
        </w:tc>
        <w:tc>
          <w:tcPr>
            <w:tcW w:w="8578" w:type="dxa"/>
            <w:tcBorders>
              <w:top w:val="single" w:color="4F81BD" w:themeColor="accent1" w:sz="12" w:space="0"/>
              <w:left w:val="single" w:color="4F81BD" w:themeColor="accent1" w:sz="8" w:space="0"/>
              <w:bottom w:val="single" w:color="4F81BD" w:themeColor="accent1" w:sz="8" w:space="0"/>
            </w:tcBorders>
            <w:vAlign w:val="center"/>
          </w:tcPr>
          <w:p w14:paraId="464614A0">
            <w:pPr>
              <w:ind w:firstLine="0"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KOP293是由珠海恺瑞生物</w:t>
            </w:r>
            <w:r>
              <w:rPr>
                <w:rFonts w:hint="eastAsia" w:ascii="Times New Roman" w:hAnsi="Times New Roman" w:cs="Times New Roman"/>
                <w:szCs w:val="21"/>
              </w:rPr>
              <w:t>科技</w:t>
            </w:r>
            <w:r>
              <w:rPr>
                <w:rFonts w:ascii="Times New Roman" w:hAnsi="Times New Roman" w:cs="Times New Roman"/>
                <w:szCs w:val="21"/>
              </w:rPr>
              <w:t>有限公司自主研发生产的</w:t>
            </w:r>
            <w:r>
              <w:rPr>
                <w:rFonts w:hint="eastAsia" w:ascii="Times New Roman" w:hAnsi="Times New Roman" w:cs="Times New Roman"/>
                <w:szCs w:val="21"/>
              </w:rPr>
              <w:t>化学限定</w:t>
            </w:r>
            <w:r>
              <w:rPr>
                <w:rFonts w:ascii="Times New Roman" w:hAnsi="Times New Roman" w:cs="Times New Roman"/>
                <w:szCs w:val="21"/>
              </w:rPr>
              <w:t>高密度无血清培养液。该培养液适用于人胚肾上皮</w:t>
            </w:r>
            <w:r>
              <w:rPr>
                <w:rFonts w:ascii="Times New Roman" w:hAnsi="Times New Roman" w:cs="Times New Roman"/>
                <w:szCs w:val="21"/>
                <w:shd w:val="clear" w:color="auto" w:fill="FFFFFF"/>
              </w:rPr>
              <w:t xml:space="preserve"> ( human embryo kidney 293, HEK293)细胞</w:t>
            </w:r>
            <w:r>
              <w:rPr>
                <w:rFonts w:ascii="Times New Roman" w:hAnsi="Times New Roman" w:cs="Times New Roman"/>
                <w:szCs w:val="21"/>
              </w:rPr>
              <w:t>的悬浮生长和重组蛋白质的表达。培养液使用时无需添加任何生长因子等添加物，悬浮培养可支撑的细胞密度约为10-12</w:t>
            </w:r>
            <w:r>
              <w:rPr>
                <w:rFonts w:ascii="Times New Roman" w:hAnsi="Times New Roman"/>
              </w:rPr>
              <w:t>×10</w:t>
            </w:r>
            <w:r>
              <w:rPr>
                <w:rFonts w:hint="eastAsia" w:ascii="Times New Roman" w:hAnsi="Times New Roman" w:cs="Times New Roman"/>
                <w:szCs w:val="24"/>
                <w:vertAlign w:val="superscript"/>
              </w:rPr>
              <w:t>6</w:t>
            </w:r>
            <w:r>
              <w:rPr>
                <w:rFonts w:hint="eastAsia" w:ascii="Times New Roman" w:hAnsi="Times New Roman"/>
              </w:rPr>
              <w:t xml:space="preserve"> cells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Times New Roman"/>
              </w:rPr>
              <w:t>ml</w:t>
            </w:r>
            <w:r>
              <w:rPr>
                <w:rFonts w:ascii="Times New Roman" w:hAnsi="Times New Roman" w:cs="Times New Roman"/>
                <w:szCs w:val="21"/>
              </w:rPr>
              <w:t>个/</w:t>
            </w:r>
            <w:r>
              <w:rPr>
                <w:rFonts w:hint="eastAsia" w:ascii="Times New Roman" w:hAnsi="Times New Roman" w:cs="Times New Roman"/>
                <w:szCs w:val="21"/>
              </w:rPr>
              <w:t>ml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</w:tr>
      <w:tr w14:paraId="4F65E6D7">
        <w:tblPrEx>
          <w:tblBorders>
            <w:top w:val="single" w:color="4F81BD" w:themeColor="accent1" w:sz="8" w:space="0"/>
            <w:left w:val="none" w:color="auto" w:sz="0" w:space="0"/>
            <w:bottom w:val="single" w:color="4F81BD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384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vAlign w:val="center"/>
          </w:tcPr>
          <w:p w14:paraId="62C1F54C">
            <w:pPr>
              <w:ind w:firstLine="0" w:firstLineChars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KPM</w:t>
            </w:r>
          </w:p>
        </w:tc>
        <w:tc>
          <w:tcPr>
            <w:tcW w:w="8578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</w:tcBorders>
            <w:vAlign w:val="center"/>
          </w:tcPr>
          <w:p w14:paraId="291EAF6A">
            <w:pPr>
              <w:ind w:firstLine="0"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KPM是一种转染缓冲</w:t>
            </w:r>
            <w:r>
              <w:rPr>
                <w:rFonts w:hint="eastAsia" w:ascii="Times New Roman" w:hAnsi="Times New Roman" w:cs="Times New Roman"/>
                <w:szCs w:val="21"/>
              </w:rPr>
              <w:t>溶液</w:t>
            </w:r>
            <w:r>
              <w:rPr>
                <w:rFonts w:ascii="Times New Roman" w:hAnsi="Times New Roman" w:cs="Times New Roman"/>
                <w:szCs w:val="21"/>
              </w:rPr>
              <w:t>，为质粒-转染试剂复合物的形成提供稳定的环境，适用于CHO细胞和293细胞高密度转染和蛋白表达。产品转染时使用量为细胞悬液的1/10。</w:t>
            </w:r>
          </w:p>
        </w:tc>
      </w:tr>
      <w:tr w14:paraId="1B265B16">
        <w:tblPrEx>
          <w:tblBorders>
            <w:top w:val="single" w:color="4F81BD" w:themeColor="accent1" w:sz="8" w:space="0"/>
            <w:left w:val="none" w:color="auto" w:sz="0" w:space="0"/>
            <w:bottom w:val="single" w:color="4F81BD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384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vAlign w:val="center"/>
          </w:tcPr>
          <w:p w14:paraId="446CC959">
            <w:pPr>
              <w:ind w:firstLine="0" w:firstLineChars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TA-293</w:t>
            </w:r>
          </w:p>
        </w:tc>
        <w:tc>
          <w:tcPr>
            <w:tcW w:w="8578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</w:tcBorders>
            <w:vAlign w:val="center"/>
          </w:tcPr>
          <w:p w14:paraId="2FD46281">
            <w:pPr>
              <w:ind w:firstLine="0"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TA-293是293细胞转染试剂，为白色悬浊液，使用时需吹打均匀。可搭配KPM配制DNA质粒-转染试剂复合物，在大规模、高密度293细胞转染条件下表现出良好的转染效果。</w:t>
            </w:r>
          </w:p>
        </w:tc>
      </w:tr>
      <w:tr w14:paraId="100A3065">
        <w:tblPrEx>
          <w:tblBorders>
            <w:top w:val="single" w:color="4F81BD" w:themeColor="accent1" w:sz="8" w:space="0"/>
            <w:left w:val="none" w:color="auto" w:sz="0" w:space="0"/>
            <w:bottom w:val="single" w:color="4F81BD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384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vAlign w:val="center"/>
          </w:tcPr>
          <w:p w14:paraId="3C83B397">
            <w:pPr>
              <w:ind w:firstLine="0" w:firstLineChars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KE-293</w:t>
            </w:r>
          </w:p>
        </w:tc>
        <w:tc>
          <w:tcPr>
            <w:tcW w:w="8578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</w:tcBorders>
            <w:vAlign w:val="center"/>
          </w:tcPr>
          <w:p w14:paraId="5EF60B22">
            <w:pPr>
              <w:ind w:firstLine="0"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KE-293是由珠海恺瑞生物自主研发的293细胞蛋白表达增强剂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与KOP293高密度无血清培养液配合使用可</w:t>
            </w:r>
            <w:r>
              <w:rPr>
                <w:rFonts w:hint="eastAsia" w:ascii="Times New Roman" w:hAnsi="Times New Roman" w:cs="Times New Roman"/>
                <w:szCs w:val="21"/>
              </w:rPr>
              <w:t>适当</w:t>
            </w:r>
            <w:r>
              <w:rPr>
                <w:rFonts w:ascii="Times New Roman" w:hAnsi="Times New Roman" w:cs="Times New Roman"/>
                <w:szCs w:val="21"/>
              </w:rPr>
              <w:t>提高重组蛋白的表达量。</w:t>
            </w:r>
          </w:p>
        </w:tc>
      </w:tr>
      <w:tr w14:paraId="155BDE8C">
        <w:tblPrEx>
          <w:tblBorders>
            <w:top w:val="single" w:color="4F81BD" w:themeColor="accent1" w:sz="8" w:space="0"/>
            <w:left w:val="none" w:color="auto" w:sz="0" w:space="0"/>
            <w:bottom w:val="single" w:color="4F81BD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384" w:type="dxa"/>
            <w:tcBorders>
              <w:top w:val="single" w:color="4F81BD" w:themeColor="accent1" w:sz="8" w:space="0"/>
              <w:bottom w:val="single" w:color="4F81BD" w:themeColor="accent1" w:sz="12" w:space="0"/>
              <w:right w:val="single" w:color="4F81BD" w:themeColor="accent1" w:sz="8" w:space="0"/>
            </w:tcBorders>
            <w:vAlign w:val="center"/>
          </w:tcPr>
          <w:p w14:paraId="702BB077">
            <w:pPr>
              <w:ind w:firstLine="0" w:firstLineChars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KT-Feed</w:t>
            </w:r>
          </w:p>
        </w:tc>
        <w:tc>
          <w:tcPr>
            <w:tcW w:w="8578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12" w:space="0"/>
            </w:tcBorders>
            <w:vAlign w:val="center"/>
          </w:tcPr>
          <w:p w14:paraId="589DD140">
            <w:pPr>
              <w:ind w:firstLine="0"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KT-Feed</w:t>
            </w:r>
            <w:r>
              <w:rPr>
                <w:rFonts w:hint="eastAsia" w:ascii="Times New Roman" w:hAnsi="Times New Roman" w:cs="Times New Roman"/>
                <w:szCs w:val="21"/>
              </w:rPr>
              <w:t>是富含蛋白胨的植</w:t>
            </w:r>
            <w:r>
              <w:rPr>
                <w:rFonts w:ascii="Times New Roman" w:hAnsi="Times New Roman" w:cs="Times New Roman"/>
                <w:szCs w:val="21"/>
              </w:rPr>
              <w:t>物水解物，瞬时转染24小时后添加</w:t>
            </w:r>
            <w:r>
              <w:rPr>
                <w:rFonts w:hint="eastAsia" w:ascii="Times New Roman" w:hAnsi="Times New Roman" w:cs="Times New Roman"/>
                <w:szCs w:val="21"/>
              </w:rPr>
              <w:t>通常可</w:t>
            </w:r>
            <w:r>
              <w:rPr>
                <w:rFonts w:ascii="Times New Roman" w:hAnsi="Times New Roman" w:cs="Times New Roman"/>
                <w:szCs w:val="21"/>
              </w:rPr>
              <w:t>提高蛋白表达，和KOP293培养液联合使用效果更佳。</w:t>
            </w:r>
          </w:p>
        </w:tc>
      </w:tr>
    </w:tbl>
    <w:p w14:paraId="06FCC98D">
      <w:pPr>
        <w:spacing w:line="324" w:lineRule="auto"/>
        <w:ind w:firstLine="480"/>
        <w:rPr>
          <w:rFonts w:ascii="Times New Roman" w:hAnsi="Times New Roman" w:cs="Times New Roman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77" w:bottom="1440" w:left="1077" w:header="794" w:footer="709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07935744"/>
    </w:sdtPr>
    <w:sdtContent>
      <w:sdt>
        <w:sdtPr>
          <w:id w:val="860082579"/>
        </w:sdtPr>
        <w:sdtContent>
          <w:p w14:paraId="7E190363">
            <w:pPr>
              <w:pStyle w:val="6"/>
              <w:ind w:firstLine="360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E69DA8">
    <w:pPr>
      <w:pStyle w:val="6"/>
      <w:ind w:firstLine="360"/>
    </w:pPr>
    <w:r>
      <w:t>www.kairuibiotech.com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46C29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177EC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637DD">
    <w:pPr>
      <w:pStyle w:val="7"/>
      <w:ind w:firstLine="0" w:firstLineChars="0"/>
      <w:jc w:val="both"/>
    </w:pPr>
    <w:r>
      <w:drawing>
        <wp:inline distT="0" distB="0" distL="114300" distR="114300">
          <wp:extent cx="995045" cy="339725"/>
          <wp:effectExtent l="0" t="0" r="0" b="3175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4112" cy="343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</w:t>
    </w:r>
    <w:r>
      <w:t xml:space="preserve">                                               T</w:t>
    </w:r>
    <w:r>
      <w:rPr>
        <w:rFonts w:hint="eastAsia"/>
      </w:rPr>
      <w:t>el： 0756-363118</w:t>
    </w:r>
    <w:r>
      <w:t>6</w:t>
    </w:r>
    <w:r>
      <w:rPr>
        <w:rFonts w:hint="eastAsia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9F907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12BD4"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927C9"/>
    <w:multiLevelType w:val="multilevel"/>
    <w:tmpl w:val="141927C9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6E648D"/>
    <w:multiLevelType w:val="multilevel"/>
    <w:tmpl w:val="206E648D"/>
    <w:lvl w:ilvl="0" w:tentative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2281653"/>
    <w:multiLevelType w:val="multilevel"/>
    <w:tmpl w:val="22281653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4B69A4"/>
    <w:multiLevelType w:val="multilevel"/>
    <w:tmpl w:val="304B69A4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eastAsia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F9202E"/>
    <w:multiLevelType w:val="multilevel"/>
    <w:tmpl w:val="33F9202E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127B34"/>
    <w:multiLevelType w:val="multilevel"/>
    <w:tmpl w:val="3E127B3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EA5B5E"/>
    <w:multiLevelType w:val="multilevel"/>
    <w:tmpl w:val="45EA5B5E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0B03DED"/>
    <w:multiLevelType w:val="multilevel"/>
    <w:tmpl w:val="50B03DED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EA6360E"/>
    <w:multiLevelType w:val="multilevel"/>
    <w:tmpl w:val="6EA6360E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19D7948"/>
    <w:multiLevelType w:val="singleLevel"/>
    <w:tmpl w:val="719D794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4MTViMGViNjY1ZDM4MzQxZjgwMDA5NjBmNmI3NjQifQ=="/>
  </w:docVars>
  <w:rsids>
    <w:rsidRoot w:val="00E7539C"/>
    <w:rsid w:val="000150C2"/>
    <w:rsid w:val="0001556D"/>
    <w:rsid w:val="0001689B"/>
    <w:rsid w:val="00017DE1"/>
    <w:rsid w:val="00022D67"/>
    <w:rsid w:val="00036FA4"/>
    <w:rsid w:val="00037346"/>
    <w:rsid w:val="00073698"/>
    <w:rsid w:val="00075E9A"/>
    <w:rsid w:val="00082D94"/>
    <w:rsid w:val="00085D44"/>
    <w:rsid w:val="00094499"/>
    <w:rsid w:val="000A3438"/>
    <w:rsid w:val="000A4079"/>
    <w:rsid w:val="000A51A5"/>
    <w:rsid w:val="000B07FF"/>
    <w:rsid w:val="000B1CB9"/>
    <w:rsid w:val="000C0BB9"/>
    <w:rsid w:val="000D50AE"/>
    <w:rsid w:val="000E4133"/>
    <w:rsid w:val="000E4A54"/>
    <w:rsid w:val="000F10BD"/>
    <w:rsid w:val="000F7EEE"/>
    <w:rsid w:val="00112F08"/>
    <w:rsid w:val="00114804"/>
    <w:rsid w:val="00122071"/>
    <w:rsid w:val="00123A88"/>
    <w:rsid w:val="00140CA3"/>
    <w:rsid w:val="00145561"/>
    <w:rsid w:val="00164D49"/>
    <w:rsid w:val="001654D7"/>
    <w:rsid w:val="00185A65"/>
    <w:rsid w:val="00187BE6"/>
    <w:rsid w:val="00192394"/>
    <w:rsid w:val="00196D1C"/>
    <w:rsid w:val="001A11EB"/>
    <w:rsid w:val="001C30D1"/>
    <w:rsid w:val="001F1070"/>
    <w:rsid w:val="001F58DF"/>
    <w:rsid w:val="00220CC6"/>
    <w:rsid w:val="00223559"/>
    <w:rsid w:val="00226BC4"/>
    <w:rsid w:val="002301CC"/>
    <w:rsid w:val="0023763F"/>
    <w:rsid w:val="00251B9B"/>
    <w:rsid w:val="00252519"/>
    <w:rsid w:val="00255691"/>
    <w:rsid w:val="00256ECD"/>
    <w:rsid w:val="00262A74"/>
    <w:rsid w:val="00265737"/>
    <w:rsid w:val="00276768"/>
    <w:rsid w:val="00282B68"/>
    <w:rsid w:val="002A7BAB"/>
    <w:rsid w:val="002B4F44"/>
    <w:rsid w:val="002D0361"/>
    <w:rsid w:val="002D290B"/>
    <w:rsid w:val="002E0899"/>
    <w:rsid w:val="002E1FE8"/>
    <w:rsid w:val="002F34A9"/>
    <w:rsid w:val="003022B0"/>
    <w:rsid w:val="00312506"/>
    <w:rsid w:val="00327075"/>
    <w:rsid w:val="00344EB9"/>
    <w:rsid w:val="00345565"/>
    <w:rsid w:val="0037214E"/>
    <w:rsid w:val="00381873"/>
    <w:rsid w:val="00392655"/>
    <w:rsid w:val="003C1287"/>
    <w:rsid w:val="00405223"/>
    <w:rsid w:val="004104FE"/>
    <w:rsid w:val="00412F9B"/>
    <w:rsid w:val="004143BA"/>
    <w:rsid w:val="0042038F"/>
    <w:rsid w:val="0042359D"/>
    <w:rsid w:val="00437009"/>
    <w:rsid w:val="004616B1"/>
    <w:rsid w:val="00467340"/>
    <w:rsid w:val="0047388B"/>
    <w:rsid w:val="004741DD"/>
    <w:rsid w:val="0047615E"/>
    <w:rsid w:val="00482C59"/>
    <w:rsid w:val="00486170"/>
    <w:rsid w:val="004A1F77"/>
    <w:rsid w:val="004C5807"/>
    <w:rsid w:val="004D66F6"/>
    <w:rsid w:val="004E7EE9"/>
    <w:rsid w:val="004F0135"/>
    <w:rsid w:val="00511D9B"/>
    <w:rsid w:val="00513A98"/>
    <w:rsid w:val="00520929"/>
    <w:rsid w:val="00533160"/>
    <w:rsid w:val="00554356"/>
    <w:rsid w:val="005567D9"/>
    <w:rsid w:val="00556973"/>
    <w:rsid w:val="00561165"/>
    <w:rsid w:val="00567621"/>
    <w:rsid w:val="0058294B"/>
    <w:rsid w:val="0058637F"/>
    <w:rsid w:val="005B1999"/>
    <w:rsid w:val="005D083C"/>
    <w:rsid w:val="005F7FC8"/>
    <w:rsid w:val="00601831"/>
    <w:rsid w:val="00603C46"/>
    <w:rsid w:val="00604D4C"/>
    <w:rsid w:val="00611720"/>
    <w:rsid w:val="00613B71"/>
    <w:rsid w:val="00615A4D"/>
    <w:rsid w:val="006170DA"/>
    <w:rsid w:val="00624234"/>
    <w:rsid w:val="00631A4E"/>
    <w:rsid w:val="0064072B"/>
    <w:rsid w:val="00663E65"/>
    <w:rsid w:val="006666E2"/>
    <w:rsid w:val="006674FD"/>
    <w:rsid w:val="006843D7"/>
    <w:rsid w:val="006A0CA5"/>
    <w:rsid w:val="006B62FF"/>
    <w:rsid w:val="006C3FF7"/>
    <w:rsid w:val="006F4BE1"/>
    <w:rsid w:val="00704AC0"/>
    <w:rsid w:val="00711C1A"/>
    <w:rsid w:val="007253DC"/>
    <w:rsid w:val="0073339B"/>
    <w:rsid w:val="007344DF"/>
    <w:rsid w:val="007437BF"/>
    <w:rsid w:val="00753A33"/>
    <w:rsid w:val="00762A86"/>
    <w:rsid w:val="00763F97"/>
    <w:rsid w:val="00774E00"/>
    <w:rsid w:val="007B77C0"/>
    <w:rsid w:val="007C393F"/>
    <w:rsid w:val="007F1FA5"/>
    <w:rsid w:val="007F31A9"/>
    <w:rsid w:val="007F7675"/>
    <w:rsid w:val="008065BB"/>
    <w:rsid w:val="00824570"/>
    <w:rsid w:val="008437AC"/>
    <w:rsid w:val="008557E7"/>
    <w:rsid w:val="00872DA9"/>
    <w:rsid w:val="00872DD5"/>
    <w:rsid w:val="008824C2"/>
    <w:rsid w:val="008926EE"/>
    <w:rsid w:val="008A4D5B"/>
    <w:rsid w:val="008A6132"/>
    <w:rsid w:val="008A6C8D"/>
    <w:rsid w:val="008C789E"/>
    <w:rsid w:val="008D0EA0"/>
    <w:rsid w:val="008D1DDD"/>
    <w:rsid w:val="008D36EF"/>
    <w:rsid w:val="008D3C37"/>
    <w:rsid w:val="00904933"/>
    <w:rsid w:val="0091337C"/>
    <w:rsid w:val="009143D0"/>
    <w:rsid w:val="00923407"/>
    <w:rsid w:val="009263A0"/>
    <w:rsid w:val="00930842"/>
    <w:rsid w:val="00935BD5"/>
    <w:rsid w:val="0095439C"/>
    <w:rsid w:val="009737C4"/>
    <w:rsid w:val="009811D8"/>
    <w:rsid w:val="009B0E34"/>
    <w:rsid w:val="009B4553"/>
    <w:rsid w:val="009B606B"/>
    <w:rsid w:val="009C1414"/>
    <w:rsid w:val="009C25DC"/>
    <w:rsid w:val="009D1136"/>
    <w:rsid w:val="009E0AF8"/>
    <w:rsid w:val="009E1E71"/>
    <w:rsid w:val="009E507B"/>
    <w:rsid w:val="009F1D33"/>
    <w:rsid w:val="00A05BDF"/>
    <w:rsid w:val="00A23317"/>
    <w:rsid w:val="00A42711"/>
    <w:rsid w:val="00A47D2B"/>
    <w:rsid w:val="00A544DD"/>
    <w:rsid w:val="00A55489"/>
    <w:rsid w:val="00A56EA5"/>
    <w:rsid w:val="00A610A6"/>
    <w:rsid w:val="00A74E88"/>
    <w:rsid w:val="00A86F7B"/>
    <w:rsid w:val="00A902B0"/>
    <w:rsid w:val="00A91501"/>
    <w:rsid w:val="00A95BF0"/>
    <w:rsid w:val="00A974CE"/>
    <w:rsid w:val="00AA2209"/>
    <w:rsid w:val="00AA2FAE"/>
    <w:rsid w:val="00AA74CA"/>
    <w:rsid w:val="00AB0614"/>
    <w:rsid w:val="00AB2E29"/>
    <w:rsid w:val="00AB56F4"/>
    <w:rsid w:val="00AE2902"/>
    <w:rsid w:val="00B22F43"/>
    <w:rsid w:val="00B2629B"/>
    <w:rsid w:val="00B319A5"/>
    <w:rsid w:val="00B367B5"/>
    <w:rsid w:val="00B376FF"/>
    <w:rsid w:val="00B44F50"/>
    <w:rsid w:val="00B47AB4"/>
    <w:rsid w:val="00B6031E"/>
    <w:rsid w:val="00B621D1"/>
    <w:rsid w:val="00B70CB2"/>
    <w:rsid w:val="00B714B9"/>
    <w:rsid w:val="00B7244C"/>
    <w:rsid w:val="00B7477C"/>
    <w:rsid w:val="00B90BE7"/>
    <w:rsid w:val="00BA0473"/>
    <w:rsid w:val="00BD7C01"/>
    <w:rsid w:val="00BF5606"/>
    <w:rsid w:val="00C10506"/>
    <w:rsid w:val="00C417D6"/>
    <w:rsid w:val="00C422F1"/>
    <w:rsid w:val="00C475ED"/>
    <w:rsid w:val="00C47FED"/>
    <w:rsid w:val="00C56125"/>
    <w:rsid w:val="00C74D5C"/>
    <w:rsid w:val="00C77785"/>
    <w:rsid w:val="00C91438"/>
    <w:rsid w:val="00C953F6"/>
    <w:rsid w:val="00C96B86"/>
    <w:rsid w:val="00CA0F0F"/>
    <w:rsid w:val="00CB0615"/>
    <w:rsid w:val="00CC0168"/>
    <w:rsid w:val="00CC676C"/>
    <w:rsid w:val="00CD3F54"/>
    <w:rsid w:val="00CD723A"/>
    <w:rsid w:val="00CD7C8E"/>
    <w:rsid w:val="00CE3930"/>
    <w:rsid w:val="00CE5ECF"/>
    <w:rsid w:val="00CF1309"/>
    <w:rsid w:val="00D02C8A"/>
    <w:rsid w:val="00D36A9C"/>
    <w:rsid w:val="00D61AC0"/>
    <w:rsid w:val="00D87D79"/>
    <w:rsid w:val="00DA5A85"/>
    <w:rsid w:val="00DA7806"/>
    <w:rsid w:val="00DB7964"/>
    <w:rsid w:val="00DC400E"/>
    <w:rsid w:val="00DC402E"/>
    <w:rsid w:val="00DE108D"/>
    <w:rsid w:val="00DE26E8"/>
    <w:rsid w:val="00DE2AD0"/>
    <w:rsid w:val="00DE36AA"/>
    <w:rsid w:val="00DE4585"/>
    <w:rsid w:val="00DF31A6"/>
    <w:rsid w:val="00DF3FBC"/>
    <w:rsid w:val="00E26322"/>
    <w:rsid w:val="00E264F9"/>
    <w:rsid w:val="00E50945"/>
    <w:rsid w:val="00E736CC"/>
    <w:rsid w:val="00E73A3E"/>
    <w:rsid w:val="00E7539C"/>
    <w:rsid w:val="00E9672B"/>
    <w:rsid w:val="00E977BF"/>
    <w:rsid w:val="00EA0964"/>
    <w:rsid w:val="00EB70B8"/>
    <w:rsid w:val="00ED360B"/>
    <w:rsid w:val="00F01C06"/>
    <w:rsid w:val="00F05603"/>
    <w:rsid w:val="00F06FAB"/>
    <w:rsid w:val="00F16114"/>
    <w:rsid w:val="00F32835"/>
    <w:rsid w:val="00F42DDA"/>
    <w:rsid w:val="00F64F51"/>
    <w:rsid w:val="00F65018"/>
    <w:rsid w:val="00F84477"/>
    <w:rsid w:val="00F937B4"/>
    <w:rsid w:val="00F939F5"/>
    <w:rsid w:val="00FA1603"/>
    <w:rsid w:val="00FB62F1"/>
    <w:rsid w:val="00FC6BA1"/>
    <w:rsid w:val="00FE07F0"/>
    <w:rsid w:val="00FE67DD"/>
    <w:rsid w:val="00FE7D4D"/>
    <w:rsid w:val="012F3920"/>
    <w:rsid w:val="01BA7024"/>
    <w:rsid w:val="04345C76"/>
    <w:rsid w:val="04B64F57"/>
    <w:rsid w:val="05C2252A"/>
    <w:rsid w:val="0754626F"/>
    <w:rsid w:val="08AE31E5"/>
    <w:rsid w:val="093C3415"/>
    <w:rsid w:val="0B0969CB"/>
    <w:rsid w:val="10085F25"/>
    <w:rsid w:val="100E3B10"/>
    <w:rsid w:val="119A7465"/>
    <w:rsid w:val="11F777C7"/>
    <w:rsid w:val="17AE178C"/>
    <w:rsid w:val="18317135"/>
    <w:rsid w:val="18B07452"/>
    <w:rsid w:val="26363279"/>
    <w:rsid w:val="2B175CBB"/>
    <w:rsid w:val="2B281BAA"/>
    <w:rsid w:val="2CD26670"/>
    <w:rsid w:val="2D606444"/>
    <w:rsid w:val="2FE47609"/>
    <w:rsid w:val="324D659F"/>
    <w:rsid w:val="34034D02"/>
    <w:rsid w:val="3585074B"/>
    <w:rsid w:val="3C1F3A5D"/>
    <w:rsid w:val="3C25387F"/>
    <w:rsid w:val="3CF319B7"/>
    <w:rsid w:val="3F0C073D"/>
    <w:rsid w:val="3F304D87"/>
    <w:rsid w:val="3F4B3929"/>
    <w:rsid w:val="42503A15"/>
    <w:rsid w:val="46BF6471"/>
    <w:rsid w:val="59635E70"/>
    <w:rsid w:val="61C87F13"/>
    <w:rsid w:val="67A83A90"/>
    <w:rsid w:val="6A8363BF"/>
    <w:rsid w:val="6AC54E80"/>
    <w:rsid w:val="6B2F36BB"/>
    <w:rsid w:val="6EA2601D"/>
    <w:rsid w:val="6FEB617E"/>
    <w:rsid w:val="717160B2"/>
    <w:rsid w:val="74FA6746"/>
    <w:rsid w:val="75C67856"/>
    <w:rsid w:val="76A042D3"/>
    <w:rsid w:val="772C2C6C"/>
    <w:rsid w:val="7BFA6A35"/>
    <w:rsid w:val="7F1906E6"/>
    <w:rsid w:val="FC77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9"/>
    <w:autoRedefine/>
    <w:unhideWhenUsed/>
    <w:qFormat/>
    <w:uiPriority w:val="9"/>
    <w:pPr>
      <w:keepNext/>
      <w:keepLines/>
      <w:spacing w:line="360" w:lineRule="auto"/>
      <w:ind w:firstLine="0" w:firstLineChars="0"/>
      <w:outlineLvl w:val="1"/>
    </w:pPr>
    <w:rPr>
      <w:rFonts w:ascii="宋体" w:hAnsi="宋体" w:eastAsia="宋体" w:cstheme="majorBidi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semiHidden/>
    <w:unhideWhenUsed/>
    <w:qFormat/>
    <w:uiPriority w:val="99"/>
  </w:style>
  <w:style w:type="paragraph" w:styleId="5">
    <w:name w:val="Balloon Text"/>
    <w:basedOn w:val="1"/>
    <w:link w:val="13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7"/>
    <w:autoRedefine/>
    <w:qFormat/>
    <w:uiPriority w:val="10"/>
    <w:pPr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2">
    <w:name w:val="List Paragraph"/>
    <w:basedOn w:val="1"/>
    <w:autoRedefine/>
    <w:qFormat/>
    <w:uiPriority w:val="34"/>
    <w:pPr>
      <w:ind w:firstLine="420"/>
    </w:pPr>
  </w:style>
  <w:style w:type="character" w:customStyle="1" w:styleId="13">
    <w:name w:val="批注框文本 字符"/>
    <w:basedOn w:val="11"/>
    <w:link w:val="5"/>
    <w:autoRedefine/>
    <w:semiHidden/>
    <w:qFormat/>
    <w:uiPriority w:val="99"/>
    <w:rPr>
      <w:sz w:val="18"/>
      <w:szCs w:val="18"/>
    </w:rPr>
  </w:style>
  <w:style w:type="paragraph" w:styleId="14">
    <w:name w:val="No Spacing"/>
    <w:autoRedefine/>
    <w:qFormat/>
    <w:uiPriority w:val="1"/>
    <w:pPr>
      <w:adjustRightInd w:val="0"/>
      <w:snapToGrid w:val="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8">
    <w:name w:val="标题 1 字符"/>
    <w:basedOn w:val="11"/>
    <w:link w:val="2"/>
    <w:autoRedefine/>
    <w:qFormat/>
    <w:uiPriority w:val="9"/>
    <w:rPr>
      <w:rFonts w:asciiTheme="minorHAnsi" w:hAnsiTheme="minorHAnsi" w:eastAsiaTheme="minorEastAsia" w:cstheme="minorBidi"/>
      <w:b/>
      <w:bCs/>
      <w:kern w:val="44"/>
      <w:sz w:val="28"/>
      <w:szCs w:val="44"/>
    </w:rPr>
  </w:style>
  <w:style w:type="character" w:customStyle="1" w:styleId="19">
    <w:name w:val="标题 2 字符"/>
    <w:basedOn w:val="11"/>
    <w:link w:val="3"/>
    <w:autoRedefine/>
    <w:qFormat/>
    <w:uiPriority w:val="9"/>
    <w:rPr>
      <w:rFonts w:ascii="宋体" w:hAnsi="宋体" w:cstheme="majorBidi"/>
      <w:b/>
      <w:bCs/>
      <w:kern w:val="2"/>
      <w:sz w:val="24"/>
      <w:szCs w:val="32"/>
    </w:rPr>
  </w:style>
  <w:style w:type="paragraph" w:customStyle="1" w:styleId="20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2784</Words>
  <Characters>3385</Characters>
  <Lines>25</Lines>
  <Paragraphs>7</Paragraphs>
  <TotalTime>5</TotalTime>
  <ScaleCrop>false</ScaleCrop>
  <LinksUpToDate>false</LinksUpToDate>
  <CharactersWithSpaces>3414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2023-10-20T03:17:00Z</dcterms:created>
  <dc:creator>del</dc:creator>
  <cp:lastModifiedBy>@.@</cp:lastModifiedBy>
  <cp:lastPrinted>2023-10-20T03:17:00Z</cp:lastPrinted>
  <dcterms:modified xsi:type="dcterms:W3CDTF">2024-09-13T01:34:27Z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BE03103389834E5281414F3CB593D060_13</vt:lpwstr>
  </property>
</Properties>
</file>