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hAnsi="Times New Roman" w:eastAsia="宋体" w:cs="Times New Roman"/>
          <w:sz w:val="30"/>
          <w:szCs w:val="30"/>
        </w:rPr>
      </w:pPr>
      <w:bookmarkStart w:id="0" w:name="_GoBack"/>
      <w:bookmarkEnd w:id="0"/>
      <w:r>
        <w:rPr>
          <w:rFonts w:hint="eastAsia" w:ascii="Times New Roman" w:hAnsi="Times New Roman" w:eastAsia="宋体" w:cs="Times New Roman"/>
          <w:sz w:val="30"/>
          <w:szCs w:val="30"/>
        </w:rPr>
        <w:t>小鼠杂交瘤单克隆抗体制备及无血清培养生产试剂系统使用指南（1.4版）</w:t>
      </w:r>
    </w:p>
    <w:p>
      <w:pPr>
        <w:pStyle w:val="2"/>
        <w:numPr>
          <w:ilvl w:val="0"/>
          <w:numId w:val="1"/>
        </w:numPr>
        <w:rPr>
          <w:rFonts w:eastAsia="宋体" w:cs="Times New Roman"/>
        </w:rPr>
      </w:pPr>
      <w:r>
        <w:rPr>
          <w:rFonts w:eastAsia="宋体" w:cs="Times New Roman"/>
        </w:rPr>
        <w:t>产品概述</w:t>
      </w:r>
    </w:p>
    <w:p>
      <w:pPr>
        <w:ind w:firstLine="480" w:firstLineChars="200"/>
        <w:rPr>
          <w:rFonts w:eastAsia="宋体" w:cs="Times New Roman"/>
        </w:rPr>
      </w:pPr>
      <w:r>
        <w:rPr>
          <w:rFonts w:hint="eastAsia" w:eastAsia="宋体" w:cs="Times New Roman"/>
        </w:rPr>
        <w:t>珠海恺瑞提供完整配套的小鼠杂交瘤单克隆抗体制备试剂系统，用</w:t>
      </w:r>
      <w:r>
        <w:rPr>
          <w:rFonts w:eastAsia="宋体" w:cs="Times New Roman"/>
        </w:rPr>
        <w:t>于</w:t>
      </w:r>
      <w:r>
        <w:rPr>
          <w:rFonts w:hint="eastAsia" w:eastAsia="宋体" w:cs="Times New Roman"/>
        </w:rPr>
        <w:t>杂交瘤</w:t>
      </w:r>
      <w:r>
        <w:rPr>
          <w:rFonts w:eastAsia="宋体" w:cs="Times New Roman"/>
        </w:rPr>
        <w:t>细胞</w:t>
      </w:r>
      <w:r>
        <w:rPr>
          <w:rFonts w:hint="eastAsia" w:eastAsia="宋体" w:cs="Times New Roman"/>
        </w:rPr>
        <w:t>的制</w:t>
      </w:r>
    </w:p>
    <w:p>
      <w:pPr>
        <w:rPr>
          <w:rFonts w:eastAsia="宋体" w:cs="Times New Roman"/>
        </w:rPr>
      </w:pPr>
      <w:r>
        <w:rPr>
          <w:rFonts w:hint="eastAsia" w:eastAsia="宋体" w:cs="Times New Roman"/>
        </w:rPr>
        <w:t>备、单克隆细胞建立和</w:t>
      </w:r>
      <w:r>
        <w:rPr>
          <w:rFonts w:eastAsia="宋体" w:cs="Times New Roman"/>
        </w:rPr>
        <w:t>高密度</w:t>
      </w:r>
      <w:r>
        <w:rPr>
          <w:rFonts w:hint="eastAsia" w:eastAsia="宋体" w:cs="Times New Roman"/>
        </w:rPr>
        <w:t>无血清</w:t>
      </w:r>
      <w:r>
        <w:rPr>
          <w:rFonts w:eastAsia="宋体" w:cs="Times New Roman"/>
        </w:rPr>
        <w:t>悬浮培养</w:t>
      </w:r>
      <w:r>
        <w:rPr>
          <w:rFonts w:hint="eastAsia" w:eastAsia="宋体" w:cs="Times New Roman"/>
        </w:rPr>
        <w:t>单克隆抗体生产</w:t>
      </w:r>
      <w:r>
        <w:rPr>
          <w:rFonts w:eastAsia="宋体" w:cs="Times New Roman"/>
        </w:rPr>
        <w:t>。</w:t>
      </w:r>
      <w:r>
        <w:rPr>
          <w:rFonts w:hint="eastAsia" w:eastAsia="宋体" w:cs="Times New Roman"/>
        </w:rPr>
        <w:t>为确保使用效果，建议用户在使用本系统前详细阅读此使用指南。</w:t>
      </w:r>
    </w:p>
    <w:p>
      <w:pPr>
        <w:ind w:firstLine="480" w:firstLineChars="200"/>
        <w:rPr>
          <w:rFonts w:eastAsia="宋体" w:cs="Times New Roman"/>
        </w:rPr>
      </w:pPr>
      <w:r>
        <w:rPr>
          <w:rFonts w:hint="eastAsia" w:eastAsia="宋体" w:cs="Times New Roman"/>
        </w:rPr>
        <w:t>此系统所包含的试剂可在本指南附录中查找，用户可根据需求自行搭配使用。</w:t>
      </w:r>
    </w:p>
    <w:p>
      <w:pPr>
        <w:rPr>
          <w:rFonts w:eastAsia="宋体" w:cs="Times New Roman"/>
          <w:b/>
          <w:bCs/>
        </w:rPr>
      </w:pPr>
      <w:r>
        <w:rPr>
          <w:rFonts w:hint="eastAsia" w:eastAsia="宋体" w:cs="Times New Roman"/>
          <w:b/>
          <w:bCs/>
        </w:rPr>
        <w:t>细胞培养基使用保存注意事项：</w:t>
      </w:r>
    </w:p>
    <w:p>
      <w:pPr>
        <w:numPr>
          <w:ilvl w:val="0"/>
          <w:numId w:val="2"/>
        </w:numPr>
        <w:rPr>
          <w:rFonts w:eastAsia="宋体" w:cs="Times New Roman"/>
          <w:b/>
          <w:bCs/>
        </w:rPr>
      </w:pPr>
      <w:r>
        <w:rPr>
          <w:rFonts w:hint="eastAsia" w:eastAsia="宋体" w:cs="Times New Roman"/>
          <w:b/>
          <w:bCs/>
        </w:rPr>
        <w:t>切勿紫外照射；</w:t>
      </w:r>
    </w:p>
    <w:p>
      <w:pPr>
        <w:numPr>
          <w:ilvl w:val="0"/>
          <w:numId w:val="2"/>
        </w:numPr>
        <w:rPr>
          <w:rFonts w:eastAsia="宋体" w:cs="Times New Roman"/>
          <w:b/>
          <w:bCs/>
        </w:rPr>
      </w:pPr>
      <w:r>
        <w:rPr>
          <w:rFonts w:hint="eastAsia" w:eastAsia="宋体" w:cs="Times New Roman"/>
          <w:b/>
          <w:bCs/>
        </w:rPr>
        <w:t>无需预热处理，可直接从冰箱取出使用；</w:t>
      </w:r>
    </w:p>
    <w:p>
      <w:pPr>
        <w:numPr>
          <w:ilvl w:val="0"/>
          <w:numId w:val="2"/>
        </w:numPr>
        <w:rPr>
          <w:rFonts w:eastAsia="宋体" w:cs="Times New Roman"/>
          <w:b/>
          <w:bCs/>
        </w:rPr>
      </w:pPr>
      <w:r>
        <w:rPr>
          <w:rFonts w:hint="eastAsia" w:eastAsia="宋体" w:cs="Times New Roman"/>
          <w:b/>
          <w:bCs/>
        </w:rPr>
        <w:t>储存细胞培养基时尽量使用医用冰箱，以确保恒温效果，切勿冷冻；</w:t>
      </w:r>
    </w:p>
    <w:p>
      <w:pPr>
        <w:numPr>
          <w:ilvl w:val="0"/>
          <w:numId w:val="2"/>
        </w:numPr>
        <w:rPr>
          <w:rFonts w:eastAsia="宋体" w:cs="Times New Roman"/>
        </w:rPr>
      </w:pPr>
      <w:r>
        <w:rPr>
          <w:rFonts w:hint="eastAsia" w:eastAsia="宋体" w:cs="Times New Roman"/>
          <w:b/>
          <w:bCs/>
        </w:rPr>
        <w:t>定期检查细胞培养基过期日期，并在过期前使用完或更换新的培养基，避免使用过期培养基导致细胞生长异常或失败。</w:t>
      </w:r>
    </w:p>
    <w:p>
      <w:pPr>
        <w:pStyle w:val="2"/>
        <w:numPr>
          <w:ilvl w:val="0"/>
          <w:numId w:val="1"/>
        </w:numPr>
        <w:rPr>
          <w:rFonts w:eastAsia="宋体" w:cs="Times New Roman"/>
        </w:rPr>
      </w:pPr>
      <w:r>
        <w:rPr>
          <w:rFonts w:hint="eastAsia" w:eastAsia="宋体" w:cs="Times New Roman"/>
        </w:rPr>
        <w:t>实验步骤</w:t>
      </w:r>
    </w:p>
    <w:p>
      <w:pPr>
        <w:ind w:firstLine="480" w:firstLineChars="200"/>
        <w:rPr>
          <w:rFonts w:eastAsia="宋体" w:cs="Times New Roman"/>
        </w:rPr>
      </w:pPr>
      <w:r>
        <w:rPr>
          <w:rFonts w:eastAsia="宋体" w:cs="Times New Roman"/>
        </w:rPr>
        <w:t>本实验方法根据</w:t>
      </w:r>
      <w:r>
        <w:rPr>
          <w:rFonts w:hint="eastAsia" w:eastAsia="宋体" w:cs="Times New Roman"/>
        </w:rPr>
        <w:t>珠海恺瑞杂交瘤细胞制备及无血清培养</w:t>
      </w:r>
      <w:r>
        <w:rPr>
          <w:rFonts w:eastAsia="宋体" w:cs="Times New Roman"/>
        </w:rPr>
        <w:t>经验总结而成</w:t>
      </w:r>
      <w:r>
        <w:rPr>
          <w:rFonts w:hint="eastAsia" w:eastAsia="宋体" w:cs="Times New Roman"/>
        </w:rPr>
        <w:t>，客户</w:t>
      </w:r>
      <w:r>
        <w:rPr>
          <w:rFonts w:eastAsia="宋体" w:cs="Times New Roman"/>
        </w:rPr>
        <w:t>可根</w:t>
      </w:r>
      <w:r>
        <w:rPr>
          <w:rFonts w:hint="eastAsia" w:eastAsia="宋体" w:cs="Times New Roman"/>
        </w:rPr>
        <w:t>据</w:t>
      </w:r>
      <w:r>
        <w:rPr>
          <w:rFonts w:eastAsia="宋体" w:cs="Times New Roman"/>
        </w:rPr>
        <w:t>个人经验</w:t>
      </w:r>
      <w:r>
        <w:rPr>
          <w:rFonts w:hint="eastAsia" w:eastAsia="宋体" w:cs="Times New Roman"/>
        </w:rPr>
        <w:t>对此实验方法</w:t>
      </w:r>
      <w:r>
        <w:rPr>
          <w:rFonts w:eastAsia="宋体" w:cs="Times New Roman"/>
        </w:rPr>
        <w:t>做适当的调整。</w:t>
      </w:r>
    </w:p>
    <w:p>
      <w:pPr>
        <w:pStyle w:val="3"/>
        <w:rPr>
          <w:rFonts w:ascii="Times New Roman" w:hAnsi="Times New Roman" w:eastAsia="宋体" w:cs="Times New Roman"/>
        </w:rPr>
      </w:pPr>
      <w:r>
        <w:rPr>
          <w:rFonts w:ascii="Times New Roman" w:hAnsi="Times New Roman" w:eastAsia="宋体" w:cs="Times New Roman"/>
        </w:rPr>
        <w:t>2.1实验</w:t>
      </w:r>
      <w:r>
        <w:rPr>
          <w:rFonts w:hint="eastAsia" w:ascii="Times New Roman" w:hAnsi="Times New Roman" w:eastAsia="宋体" w:cs="Times New Roman"/>
        </w:rPr>
        <w:t>流程</w:t>
      </w:r>
    </w:p>
    <w:p/>
    <w:p>
      <w:pPr>
        <w:jc w:val="center"/>
        <w:rPr>
          <w:rFonts w:eastAsia="宋体" w:cs="Times New Roman"/>
        </w:rPr>
      </w:pPr>
      <w:r>
        <w:rPr>
          <w:rFonts w:eastAsia="宋体" w:cs="Times New Roman"/>
        </w:rPr>
        <w:drawing>
          <wp:inline distT="0" distB="0" distL="0" distR="0">
            <wp:extent cx="6651625" cy="1451610"/>
            <wp:effectExtent l="0" t="0" r="15875" b="15240"/>
            <wp:docPr id="5" name="图片 5" descr="C:\Users\hp\Desktop\1111.png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hp\Desktop\1111.png1111"/>
                    <pic:cNvPicPr>
                      <a:picLocks noChangeAspect="1"/>
                    </pic:cNvPicPr>
                  </pic:nvPicPr>
                  <pic:blipFill>
                    <a:blip r:embed="rId8"/>
                    <a:srcRect/>
                    <a:stretch>
                      <a:fillRect/>
                    </a:stretch>
                  </pic:blipFill>
                  <pic:spPr>
                    <a:xfrm>
                      <a:off x="0" y="0"/>
                      <a:ext cx="6651625" cy="1451610"/>
                    </a:xfrm>
                    <a:prstGeom prst="rect">
                      <a:avLst/>
                    </a:prstGeom>
                  </pic:spPr>
                </pic:pic>
              </a:graphicData>
            </a:graphic>
          </wp:inline>
        </w:drawing>
      </w:r>
    </w:p>
    <w:p>
      <w:pPr>
        <w:jc w:val="center"/>
        <w:rPr>
          <w:rFonts w:eastAsia="宋体" w:cs="Times New Roman"/>
        </w:rPr>
      </w:pPr>
    </w:p>
    <w:p>
      <w:pPr>
        <w:jc w:val="center"/>
        <w:rPr>
          <w:rFonts w:eastAsia="宋体" w:cs="Times New Roman"/>
          <w:szCs w:val="24"/>
        </w:rPr>
      </w:pP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单克隆杂交瘤细胞制备</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.2.1</w:t>
      </w:r>
      <w:r>
        <w:rPr>
          <w:rFonts w:hint="eastAsia" w:ascii="Times New Roman" w:hAnsi="Times New Roman" w:eastAsia="宋体" w:cs="Times New Roman"/>
        </w:rPr>
        <w:t>杂交瘤细胞制备前的准备</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1.1蛋白抗原的制备</w:t>
      </w:r>
    </w:p>
    <w:p>
      <w:pPr>
        <w:ind w:firstLine="480" w:firstLineChars="200"/>
        <w:rPr>
          <w:rFonts w:eastAsia="宋体" w:cs="Times New Roman"/>
        </w:rPr>
      </w:pPr>
      <w:r>
        <w:rPr>
          <w:rFonts w:hint="eastAsia" w:eastAsia="宋体" w:cs="Times New Roman"/>
        </w:rPr>
        <w:t>蛋白抗原的制备可以通过原核细胞或真核细胞重组蛋白表达方法来实现。哺乳动物来源的蛋白抗原制备建议使用</w:t>
      </w:r>
      <w:r>
        <w:rPr>
          <w:rFonts w:eastAsia="宋体" w:cs="Times New Roman"/>
        </w:rPr>
        <w:t>293</w:t>
      </w:r>
      <w:r>
        <w:rPr>
          <w:rFonts w:hint="eastAsia" w:eastAsia="宋体" w:cs="Times New Roman"/>
        </w:rPr>
        <w:t>或CHO等哺乳动物细胞重组蛋白表达方法，以确保所生产的重组蛋白抗原与体内抗原蛋白抗原决定簇结构的相似性；</w:t>
      </w:r>
    </w:p>
    <w:p>
      <w:pPr>
        <w:ind w:firstLine="480" w:firstLineChars="200"/>
        <w:rPr>
          <w:rFonts w:eastAsia="宋体" w:cs="Times New Roman"/>
        </w:rPr>
      </w:pPr>
      <w:r>
        <w:rPr>
          <w:rFonts w:hint="eastAsia" w:eastAsia="宋体" w:cs="Times New Roman"/>
        </w:rPr>
        <w:t>使用哺乳动物细胞表达重组蛋白抗原时需要构建蛋白表达DNA质粒，必要时引入信号肽使得所表达的蛋白成为分泌蛋白，便于蛋白纯化。质粒放大纯化后转染至2</w:t>
      </w:r>
      <w:r>
        <w:rPr>
          <w:rFonts w:eastAsia="宋体" w:cs="Times New Roman"/>
        </w:rPr>
        <w:t>93</w:t>
      </w:r>
      <w:r>
        <w:rPr>
          <w:rFonts w:hint="eastAsia" w:eastAsia="宋体" w:cs="Times New Roman"/>
        </w:rPr>
        <w:t>或CHO细胞中，并通过使用高密度无血清悬浮培养方法高效生产重组蛋白，获取足够的抗原蛋白，用于小鼠免疫。重组蛋白无血清生产具体过程可参考</w:t>
      </w:r>
      <w:r>
        <w:rPr>
          <w:rFonts w:hint="eastAsia" w:eastAsia="宋体" w:cs="Times New Roman"/>
          <w:bCs/>
          <w:color w:val="000000" w:themeColor="text1"/>
          <w14:textFill>
            <w14:solidFill>
              <w14:schemeClr w14:val="tx1"/>
            </w14:solidFill>
          </w14:textFill>
        </w:rPr>
        <w:t>CHO或2</w:t>
      </w:r>
      <w:r>
        <w:rPr>
          <w:rFonts w:eastAsia="宋体" w:cs="Times New Roman"/>
          <w:bCs/>
          <w:color w:val="000000" w:themeColor="text1"/>
          <w14:textFill>
            <w14:solidFill>
              <w14:schemeClr w14:val="tx1"/>
            </w14:solidFill>
          </w14:textFill>
        </w:rPr>
        <w:t>93</w:t>
      </w:r>
      <w:r>
        <w:rPr>
          <w:rFonts w:hint="eastAsia" w:eastAsia="宋体" w:cs="Times New Roman"/>
          <w:bCs/>
          <w:color w:val="000000" w:themeColor="text1"/>
          <w14:textFill>
            <w14:solidFill>
              <w14:schemeClr w14:val="tx1"/>
            </w14:solidFill>
          </w14:textFill>
        </w:rPr>
        <w:t>细胞瞬时转染蛋白表达系统使用指南 。</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1.2小鼠免疫</w:t>
      </w:r>
    </w:p>
    <w:p>
      <w:pPr>
        <w:ind w:firstLine="480" w:firstLineChars="200"/>
        <w:rPr>
          <w:rFonts w:eastAsia="宋体" w:cs="Times New Roman"/>
        </w:rPr>
      </w:pPr>
      <w:r>
        <w:rPr>
          <w:rFonts w:hint="eastAsia" w:eastAsia="宋体" w:cs="Times New Roman"/>
        </w:rPr>
        <w:t>可采用弗氏佐剂进行小鼠腹腔免疫，或根据抗原特性及自己成功实验经验等因素选取合适的免疫方法及免疫佐剂。</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1.3骨髓瘤制备</w:t>
      </w:r>
    </w:p>
    <w:p>
      <w:pPr>
        <w:ind w:firstLine="480" w:firstLineChars="200"/>
        <w:rPr>
          <w:rFonts w:eastAsia="宋体" w:cs="Times New Roman"/>
        </w:rPr>
      </w:pPr>
      <w:r>
        <w:rPr>
          <w:rFonts w:hint="eastAsia" w:eastAsia="宋体" w:cs="Times New Roman"/>
        </w:rPr>
        <w:t>骨髓瘤细胞可使用添加</w:t>
      </w:r>
      <w:r>
        <w:rPr>
          <w:rFonts w:eastAsia="宋体" w:cs="Times New Roman"/>
          <w:b/>
        </w:rPr>
        <w:t>ITSplus</w:t>
      </w:r>
      <w:r>
        <w:rPr>
          <w:rFonts w:hint="eastAsia" w:eastAsia="宋体" w:cs="Times New Roman"/>
        </w:rPr>
        <w:t>的</w:t>
      </w:r>
      <w:r>
        <w:rPr>
          <w:rFonts w:hint="eastAsia" w:eastAsia="宋体" w:cs="Times New Roman"/>
          <w:b/>
        </w:rPr>
        <w:t>KD-Hybri</w:t>
      </w:r>
      <w:r>
        <w:rPr>
          <w:rFonts w:hint="eastAsia" w:eastAsia="宋体" w:cs="Times New Roman"/>
        </w:rPr>
        <w:t>高密度无血清培养液悬浮培养，取对数生长期的骨髓瘤细胞备用。</w:t>
      </w:r>
    </w:p>
    <w:p>
      <w:pPr>
        <w:ind w:firstLine="480" w:firstLineChars="200"/>
        <w:rPr>
          <w:rFonts w:eastAsia="宋体" w:cs="Times New Roman"/>
        </w:rPr>
      </w:pPr>
      <w:r>
        <w:rPr>
          <w:rFonts w:hint="eastAsia" w:eastAsia="宋体" w:cs="Times New Roman"/>
        </w:rPr>
        <w:t>前期使用无血清的S</w:t>
      </w:r>
      <w:r>
        <w:rPr>
          <w:rFonts w:eastAsia="宋体" w:cs="Times New Roman"/>
        </w:rPr>
        <w:t>P2/0</w:t>
      </w:r>
      <w:r>
        <w:rPr>
          <w:rFonts w:hint="eastAsia" w:eastAsia="宋体" w:cs="Times New Roman"/>
        </w:rPr>
        <w:t>进行细胞融合，</w:t>
      </w:r>
      <w:r>
        <w:rPr>
          <w:rFonts w:eastAsia="宋体" w:cs="Times New Roman"/>
        </w:rPr>
        <w:t>可降低后期筛选出的杂交瘤细胞无血清驯化难度</w:t>
      </w:r>
      <w:r>
        <w:rPr>
          <w:rFonts w:hint="eastAsia" w:eastAsia="宋体" w:cs="Times New Roman"/>
        </w:rPr>
        <w:t>。</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w:t>
      </w: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杂交瘤制备及细胞融合</w:t>
      </w:r>
    </w:p>
    <w:p>
      <w:pPr>
        <w:ind w:firstLine="480" w:firstLineChars="200"/>
        <w:rPr>
          <w:rFonts w:eastAsia="宋体" w:cs="Times New Roman"/>
        </w:rPr>
      </w:pPr>
      <w:r>
        <w:rPr>
          <w:rFonts w:hint="eastAsia" w:eastAsia="宋体" w:cs="Times New Roman"/>
        </w:rPr>
        <w:t>小鼠完成细胞免疫周期后进行细胞融合，添加</w:t>
      </w:r>
      <w:r>
        <w:rPr>
          <w:rFonts w:hint="eastAsia" w:eastAsia="宋体" w:cs="Times New Roman"/>
          <w:b/>
        </w:rPr>
        <w:t>HMT</w:t>
      </w:r>
      <w:r>
        <w:rPr>
          <w:rFonts w:hint="eastAsia" w:eastAsia="宋体" w:cs="Times New Roman"/>
        </w:rPr>
        <w:t>对融合细胞进行筛选培养并选用合适的方法进行阳性检测，筛选目标抗体；</w:t>
      </w:r>
    </w:p>
    <w:p>
      <w:pPr>
        <w:ind w:firstLine="480" w:firstLineChars="200"/>
        <w:rPr>
          <w:rFonts w:eastAsia="宋体" w:cs="Times New Roman"/>
          <w:color w:val="FF0000"/>
        </w:rPr>
      </w:pPr>
      <w:r>
        <w:rPr>
          <w:rFonts w:hint="eastAsia" w:eastAsia="宋体" w:cs="Times New Roman"/>
        </w:rPr>
        <w:t>细胞融合方法可根据经验选用，融合后的细胞需在96孔板中经HMT进行筛选培养。珠海恺瑞杂交瘤细胞培养系统</w:t>
      </w:r>
      <w:r>
        <w:rPr>
          <w:rFonts w:hint="eastAsia" w:eastAsia="宋体" w:cs="Times New Roman"/>
          <w:b/>
          <w:bCs/>
        </w:rPr>
        <w:t>无需额外添加饲养层</w:t>
      </w:r>
      <w:r>
        <w:rPr>
          <w:rFonts w:hint="eastAsia" w:eastAsia="宋体" w:cs="Times New Roman"/>
        </w:rPr>
        <w:t>，可直接使用</w:t>
      </w:r>
      <w:r>
        <w:rPr>
          <w:rFonts w:hint="eastAsia" w:eastAsia="宋体" w:cs="Times New Roman"/>
          <w:b/>
        </w:rPr>
        <w:t>KD-Advance （无酚红）培养液及10% 胎牛血清（FBS）</w:t>
      </w:r>
      <w:r>
        <w:rPr>
          <w:rFonts w:hint="eastAsia" w:eastAsia="宋体" w:cs="Times New Roman"/>
        </w:rPr>
        <w:t>进行培养即可；杂交瘤细胞在HMT筛选培养过程中</w:t>
      </w:r>
      <w:r>
        <w:rPr>
          <w:rFonts w:hint="eastAsia" w:eastAsia="宋体" w:cs="Times New Roman"/>
          <w:b/>
          <w:bCs/>
        </w:rPr>
        <w:t>需隔天进行半量换液</w:t>
      </w:r>
      <w:r>
        <w:rPr>
          <w:rFonts w:hint="eastAsia" w:eastAsia="宋体" w:cs="Times New Roman"/>
        </w:rPr>
        <w:t>，连续培养一周后可观察已融合成功的细胞生长情况并对细胞进行抗体阳性检测；</w:t>
      </w:r>
    </w:p>
    <w:p>
      <w:pPr>
        <w:ind w:firstLine="480" w:firstLineChars="200"/>
        <w:rPr>
          <w:rFonts w:eastAsia="宋体" w:cs="Times New Roman"/>
        </w:rPr>
      </w:pPr>
      <w:r>
        <w:rPr>
          <w:rFonts w:hint="eastAsia" w:eastAsia="宋体" w:cs="Times New Roman"/>
        </w:rPr>
        <w:t>经阳性检测筛选出表达目的抗体的细胞，并扩增培养至2</w:t>
      </w:r>
      <w:r>
        <w:rPr>
          <w:rFonts w:eastAsia="宋体" w:cs="Times New Roman"/>
        </w:rPr>
        <w:t>4</w:t>
      </w:r>
      <w:r>
        <w:rPr>
          <w:rFonts w:hint="eastAsia" w:eastAsia="宋体" w:cs="Times New Roman"/>
        </w:rPr>
        <w:t>孔板，</w:t>
      </w:r>
      <w:r>
        <w:rPr>
          <w:rFonts w:hint="eastAsia" w:eastAsia="宋体" w:cs="Times New Roman"/>
          <w:b/>
        </w:rPr>
        <w:t>其中需添加一次HT替换HMT（目的：</w:t>
      </w:r>
      <w:r>
        <w:rPr>
          <w:rFonts w:eastAsia="宋体" w:cs="Times New Roman"/>
          <w:b/>
        </w:rPr>
        <w:t>抑制残留</w:t>
      </w:r>
      <w:r>
        <w:rPr>
          <w:rFonts w:hint="eastAsia" w:eastAsia="宋体" w:cs="Times New Roman"/>
          <w:b/>
        </w:rPr>
        <w:t>氨基喋呤</w:t>
      </w:r>
      <w:r>
        <w:rPr>
          <w:rFonts w:eastAsia="宋体" w:cs="Times New Roman"/>
          <w:b/>
        </w:rPr>
        <w:t>Aminopterin对细胞的毒性</w:t>
      </w:r>
      <w:r>
        <w:rPr>
          <w:rFonts w:hint="eastAsia" w:eastAsia="宋体" w:cs="Times New Roman"/>
          <w:b/>
        </w:rPr>
        <w:t>，</w:t>
      </w:r>
      <w:r>
        <w:rPr>
          <w:rFonts w:eastAsia="宋体" w:cs="Times New Roman"/>
          <w:b/>
        </w:rPr>
        <w:t>克服细胞内残留</w:t>
      </w:r>
      <w:r>
        <w:rPr>
          <w:rFonts w:hint="eastAsia" w:eastAsia="宋体" w:cs="Times New Roman"/>
          <w:b/>
        </w:rPr>
        <w:t>氨基喋呤</w:t>
      </w:r>
      <w:r>
        <w:rPr>
          <w:rFonts w:eastAsia="宋体" w:cs="Times New Roman"/>
          <w:b/>
        </w:rPr>
        <w:t>Aminopterin对DNA合成途径的抑制作用）</w:t>
      </w:r>
      <w:r>
        <w:rPr>
          <w:rFonts w:hint="eastAsia" w:eastAsia="宋体" w:cs="Times New Roman"/>
        </w:rPr>
        <w:t>；</w:t>
      </w:r>
    </w:p>
    <w:p>
      <w:pPr>
        <w:ind w:firstLine="480" w:firstLineChars="200"/>
        <w:rPr>
          <w:rFonts w:eastAsia="宋体" w:cs="Times New Roman"/>
          <w:b/>
        </w:rPr>
      </w:pPr>
      <w:r>
        <w:rPr>
          <w:rFonts w:hint="eastAsia" w:eastAsia="宋体" w:cs="Times New Roman"/>
        </w:rPr>
        <w:t>血清质量对细胞培养效果影响很大，</w:t>
      </w:r>
      <w:r>
        <w:rPr>
          <w:rFonts w:hint="eastAsia" w:eastAsia="宋体" w:cs="Times New Roman"/>
          <w:b/>
        </w:rPr>
        <w:t>建议使用经珠海恺瑞全面测试的FBS</w:t>
      </w:r>
      <w:r>
        <w:rPr>
          <w:rFonts w:hint="eastAsia" w:eastAsia="宋体" w:cs="Times New Roman"/>
        </w:rPr>
        <w:t>或其它高质量进口产品。</w:t>
      </w:r>
    </w:p>
    <w:p>
      <w:pPr>
        <w:pStyle w:val="3"/>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w:t>
      </w:r>
      <w:r>
        <w:rPr>
          <w:rFonts w:hint="eastAsia" w:ascii="Times New Roman" w:hAnsi="Times New Roman" w:eastAsia="宋体" w:cs="Times New Roman"/>
        </w:rPr>
        <w:t>3单克隆抗体筛选</w:t>
      </w:r>
    </w:p>
    <w:p>
      <w:pPr>
        <w:ind w:firstLine="480" w:firstLineChars="200"/>
        <w:rPr>
          <w:rFonts w:eastAsia="宋体" w:cs="Times New Roman"/>
          <w:color w:val="FF0000"/>
        </w:rPr>
      </w:pPr>
      <w:r>
        <w:rPr>
          <w:rFonts w:hint="eastAsia" w:eastAsia="宋体" w:cs="Times New Roman"/>
        </w:rPr>
        <w:t>单克隆抗体阳性筛选实验方案可根据抗原特性及抗体要求来设计，常见的实验方法有酶联免疫法，细胞免疫组化，以及蛋白免疫印迹等。</w:t>
      </w:r>
    </w:p>
    <w:p>
      <w:pPr>
        <w:ind w:firstLine="480" w:firstLineChars="200"/>
        <w:rPr>
          <w:rFonts w:eastAsia="宋体" w:cs="Times New Roman"/>
        </w:rPr>
      </w:pPr>
      <w:r>
        <w:rPr>
          <w:rFonts w:hint="eastAsia" w:eastAsia="宋体" w:cs="Times New Roman"/>
        </w:rPr>
        <w:t>使用</w:t>
      </w:r>
      <w:r>
        <w:rPr>
          <w:rFonts w:eastAsia="宋体" w:cs="Times New Roman"/>
          <w:b/>
          <w:bCs/>
        </w:rPr>
        <w:t>KD-Clone</w:t>
      </w:r>
      <w:r>
        <w:rPr>
          <w:rFonts w:hint="eastAsia" w:eastAsia="宋体" w:cs="Times New Roman"/>
          <w:b/>
        </w:rPr>
        <w:t>单细胞培养液</w:t>
      </w:r>
      <w:r>
        <w:rPr>
          <w:rFonts w:hint="eastAsia" w:eastAsia="宋体" w:cs="Times New Roman"/>
        </w:rPr>
        <w:t>并添加</w:t>
      </w:r>
      <w:r>
        <w:rPr>
          <w:rFonts w:hint="eastAsia" w:eastAsia="宋体" w:cs="Times New Roman"/>
          <w:b/>
          <w:bCs/>
        </w:rPr>
        <w:t xml:space="preserve"> KD-HybriGro杂交瘤促生长组合因子（100X）和1% FBS</w:t>
      </w:r>
      <w:r>
        <w:rPr>
          <w:rFonts w:hint="eastAsia" w:eastAsia="宋体" w:cs="Times New Roman"/>
        </w:rPr>
        <w:t>进行细胞单克隆筛选，可有效提高克隆率，明显降低无血清培养难度。待单克隆细胞扩增到一定数量后再次进行阳性筛选。在此过程中使用珠海恺瑞</w:t>
      </w:r>
      <w:r>
        <w:rPr>
          <w:rFonts w:hint="eastAsia" w:eastAsia="宋体" w:cs="Times New Roman"/>
          <w:b/>
          <w:bCs/>
        </w:rPr>
        <w:t>冻存液KD-Freeze</w:t>
      </w:r>
      <w:r>
        <w:rPr>
          <w:rFonts w:hint="eastAsia" w:eastAsia="宋体" w:cs="Times New Roman"/>
        </w:rPr>
        <w:t>及时冻存筛选出的阳性克隆细胞，保留阳性较强且符合要求的样品，避免阳性细胞丢失。（较容易丢失阳性抗性的细胞可进行连续多次克隆筛选）</w:t>
      </w:r>
    </w:p>
    <w:p>
      <w:pPr>
        <w:pStyle w:val="2"/>
        <w:numPr>
          <w:ilvl w:val="0"/>
          <w:numId w:val="1"/>
        </w:numPr>
        <w:rPr>
          <w:rFonts w:eastAsia="宋体" w:cs="Times New Roman"/>
        </w:rPr>
      </w:pPr>
      <w:r>
        <w:rPr>
          <w:rFonts w:hint="eastAsia" w:eastAsia="宋体" w:cs="Times New Roman"/>
        </w:rPr>
        <w:t>抗体蛋白的制备-杂交瘤的无血清悬浮震荡培养</w:t>
      </w:r>
    </w:p>
    <w:p>
      <w:pPr>
        <w:ind w:firstLine="480" w:firstLineChars="200"/>
        <w:rPr>
          <w:rFonts w:eastAsia="宋体" w:cs="Times New Roman"/>
        </w:rPr>
      </w:pPr>
      <w:r>
        <w:rPr>
          <w:rFonts w:hint="eastAsia" w:eastAsia="宋体" w:cs="Times New Roman"/>
        </w:rPr>
        <w:t>常规条件下生产和培养的杂交瘤细胞株一般经过一个简单的培养适应过程后即可在含I</w:t>
      </w:r>
      <w:r>
        <w:rPr>
          <w:rFonts w:eastAsia="宋体" w:cs="Times New Roman"/>
        </w:rPr>
        <w:t>TS</w:t>
      </w:r>
      <w:r>
        <w:rPr>
          <w:rFonts w:hint="eastAsia" w:eastAsia="宋体" w:cs="Times New Roman"/>
        </w:rPr>
        <w:t>plus的 KD-Hybri高密度无血清培养液中进行高密度悬浮震荡培养。</w:t>
      </w:r>
    </w:p>
    <w:p>
      <w:pPr>
        <w:ind w:firstLine="480" w:firstLineChars="200"/>
        <w:rPr>
          <w:rFonts w:eastAsia="宋体" w:cs="Times New Roman"/>
        </w:rPr>
      </w:pPr>
      <w:r>
        <w:rPr>
          <w:rFonts w:hint="eastAsia" w:eastAsia="宋体" w:cs="Times New Roman"/>
        </w:rPr>
        <w:t>因细胞株的不稳定性，且不同杂交瘤的不稳定性程度也不一样，抗体表达水平也存在一定的差异性。根据珠海恺瑞研发团队经验所得，客户经无血清驯化后的细胞株，建议建立无血清细胞株工作库，每次复苏工作细胞</w:t>
      </w:r>
      <w:r>
        <w:rPr>
          <w:rFonts w:hint="eastAsia" w:eastAsia="宋体" w:cs="Times New Roman"/>
          <w:b/>
          <w:bCs/>
        </w:rPr>
        <w:t>培养3-4代</w:t>
      </w:r>
      <w:r>
        <w:rPr>
          <w:rFonts w:hint="eastAsia" w:eastAsia="宋体" w:cs="Times New Roman"/>
        </w:rPr>
        <w:t>可收集表达抗体上清，离心后的细胞丢弃；若需要则重新复苏新鲜工作细胞培养收集抗体上清。</w:t>
      </w:r>
    </w:p>
    <w:p>
      <w:pPr>
        <w:ind w:firstLine="480" w:firstLineChars="200"/>
        <w:rPr>
          <w:rFonts w:eastAsia="宋体" w:cs="Times New Roman"/>
        </w:rPr>
      </w:pPr>
      <w:r>
        <w:rPr>
          <w:rFonts w:hint="eastAsia" w:eastAsia="宋体" w:cs="Times New Roman"/>
        </w:rPr>
        <w:t>杂交瘤细胞长期培养抗性容易丢失，对细胞株进行亚克隆可以有效地筛选更单一有效表达细胞株，建立亚克隆细胞工作库，从而保障抗体的高效快捷生产。</w:t>
      </w:r>
    </w:p>
    <w:p>
      <w:pPr>
        <w:pStyle w:val="3"/>
        <w:rPr>
          <w:rFonts w:ascii="Times New Roman" w:hAnsi="Times New Roman" w:eastAsia="宋体" w:cs="Times New Roman"/>
        </w:rPr>
      </w:pPr>
      <w:r>
        <w:rPr>
          <w:rFonts w:hint="eastAsia" w:ascii="Times New Roman" w:hAnsi="Times New Roman" w:eastAsia="宋体" w:cs="Times New Roman"/>
        </w:rPr>
        <w:t>3.1已适应无血清培养的杂交瘤细胞培养</w:t>
      </w:r>
    </w:p>
    <w:p>
      <w:pPr>
        <w:ind w:firstLine="480" w:firstLineChars="200"/>
        <w:rPr>
          <w:rFonts w:eastAsia="宋体" w:cs="Times New Roman"/>
        </w:rPr>
      </w:pPr>
      <w:r>
        <w:rPr>
          <w:rFonts w:hint="eastAsia" w:eastAsia="宋体" w:cs="Times New Roman"/>
        </w:rPr>
        <w:t>已经适应低密度或高密度无血清培养条件的杂交瘤细胞一般可直接切换至含I</w:t>
      </w:r>
      <w:r>
        <w:rPr>
          <w:rFonts w:eastAsia="宋体" w:cs="Times New Roman"/>
        </w:rPr>
        <w:t>TS</w:t>
      </w:r>
      <w:r>
        <w:rPr>
          <w:rFonts w:hint="eastAsia" w:eastAsia="宋体" w:cs="Times New Roman"/>
        </w:rPr>
        <w:t>plus的KD-Hybri中进行高密度悬浮培养。</w:t>
      </w:r>
    </w:p>
    <w:p>
      <w:pPr>
        <w:pStyle w:val="3"/>
        <w:rPr>
          <w:rFonts w:ascii="Times New Roman" w:hAnsi="Times New Roman" w:eastAsia="宋体" w:cs="Times New Roman"/>
        </w:rPr>
      </w:pPr>
      <w:r>
        <w:rPr>
          <w:rFonts w:hint="eastAsia" w:ascii="Times New Roman" w:hAnsi="Times New Roman" w:eastAsia="宋体" w:cs="Times New Roman"/>
        </w:rPr>
        <w:t>3.2尚未适应无血清培养的杂交瘤细胞培养</w:t>
      </w:r>
    </w:p>
    <w:p>
      <w:pPr>
        <w:pStyle w:val="3"/>
        <w:rPr>
          <w:rFonts w:ascii="Times New Roman" w:hAnsi="Times New Roman" w:eastAsia="宋体" w:cs="Times New Roman"/>
        </w:rPr>
      </w:pPr>
      <w:r>
        <w:rPr>
          <w:rFonts w:hint="eastAsia" w:ascii="Times New Roman" w:hAnsi="Times New Roman" w:eastAsia="宋体" w:cs="Times New Roman"/>
        </w:rPr>
        <w:t>3.2.1低血清摇瓶悬浮培养扩增细胞</w:t>
      </w:r>
    </w:p>
    <w:p>
      <w:pPr>
        <w:ind w:firstLine="480" w:firstLineChars="200"/>
        <w:rPr>
          <w:rFonts w:eastAsia="宋体" w:cs="Times New Roman"/>
        </w:rPr>
      </w:pPr>
      <w:r>
        <w:rPr>
          <w:rFonts w:hint="eastAsia" w:eastAsia="宋体" w:cs="Times New Roman"/>
        </w:rPr>
        <w:t>将完成ELISA检测与筛选的单克隆杂交瘤细胞扩增至T75方瓶中静置培养，使用添加FBS的KD-Advance （无酚红）培养液。待细胞铺满方瓶85%后将方瓶内的培养液置换成含FBS的KD-Hybri培养液持续培养，以便让细胞提前适应KD-Hybri培养液；</w:t>
      </w:r>
    </w:p>
    <w:p>
      <w:pPr>
        <w:ind w:firstLine="480" w:firstLineChars="200"/>
        <w:rPr>
          <w:rFonts w:eastAsia="宋体" w:cs="Times New Roman"/>
        </w:rPr>
      </w:pPr>
      <w:r>
        <w:rPr>
          <w:rFonts w:hint="eastAsia" w:eastAsia="宋体" w:cs="Times New Roman"/>
        </w:rPr>
        <w:t>最后将方瓶中的细胞转移至摇瓶KD-Hybri培养液中逐级降血清悬浮培养，直至细胞完全适应无血清培养环境。</w:t>
      </w:r>
    </w:p>
    <w:p>
      <w:pPr>
        <w:pStyle w:val="18"/>
        <w:numPr>
          <w:ilvl w:val="0"/>
          <w:numId w:val="3"/>
        </w:numPr>
        <w:spacing w:after="0" w:line="360" w:lineRule="auto"/>
        <w:ind w:left="0" w:firstLine="0"/>
        <w:rPr>
          <w:rFonts w:eastAsia="宋体" w:cs="Times New Roman"/>
        </w:rPr>
      </w:pPr>
      <w:r>
        <w:rPr>
          <w:rFonts w:hint="eastAsia" w:eastAsia="宋体" w:cs="Times New Roman"/>
          <w:b/>
          <w:bCs/>
        </w:rPr>
        <w:t>在不使用</w:t>
      </w:r>
      <w:r>
        <w:rPr>
          <w:rFonts w:eastAsia="宋体" w:cs="Times New Roman"/>
          <w:b/>
          <w:bCs/>
        </w:rPr>
        <w:t>KD-HybriGro</w:t>
      </w:r>
      <w:r>
        <w:rPr>
          <w:rFonts w:hint="eastAsia" w:eastAsia="宋体" w:cs="Times New Roman"/>
          <w:b/>
          <w:bCs/>
        </w:rPr>
        <w:t>情况下</w:t>
      </w:r>
      <w:r>
        <w:rPr>
          <w:rFonts w:hint="eastAsia" w:eastAsia="宋体" w:cs="Times New Roman"/>
        </w:rPr>
        <w:t>，摇瓶逐级降血清的过程一般为5%FBS→2.5%FBS→无血清。</w:t>
      </w:r>
    </w:p>
    <w:p>
      <w:pPr>
        <w:pStyle w:val="18"/>
        <w:numPr>
          <w:ilvl w:val="0"/>
          <w:numId w:val="3"/>
        </w:numPr>
        <w:spacing w:after="0" w:line="360" w:lineRule="auto"/>
        <w:ind w:left="0" w:firstLine="0"/>
        <w:rPr>
          <w:rFonts w:eastAsia="宋体" w:cs="Times New Roman"/>
          <w:b/>
          <w:bCs/>
        </w:rPr>
      </w:pPr>
      <w:r>
        <w:rPr>
          <w:rFonts w:hint="eastAsia" w:eastAsia="宋体" w:cs="Times New Roman"/>
          <w:b/>
          <w:bCs/>
        </w:rPr>
        <w:t>在使用K</w:t>
      </w:r>
      <w:r>
        <w:rPr>
          <w:rFonts w:eastAsia="宋体" w:cs="Times New Roman"/>
          <w:b/>
          <w:bCs/>
        </w:rPr>
        <w:t>D-HybriGro</w:t>
      </w:r>
      <w:r>
        <w:rPr>
          <w:rFonts w:hint="eastAsia" w:eastAsia="宋体" w:cs="Times New Roman"/>
          <w:b/>
          <w:bCs/>
        </w:rPr>
        <w:t>情况下</w:t>
      </w:r>
      <w:r>
        <w:rPr>
          <w:rFonts w:hint="eastAsia" w:eastAsia="宋体" w:cs="Times New Roman"/>
          <w:bCs/>
        </w:rPr>
        <w:t>，摇瓶降血清一般为</w:t>
      </w:r>
      <w:r>
        <w:rPr>
          <w:rFonts w:eastAsia="宋体" w:cs="Times New Roman"/>
          <w:bCs/>
        </w:rPr>
        <w:t>1%FBS</w:t>
      </w:r>
      <w:r>
        <w:rPr>
          <w:rFonts w:hint="eastAsia" w:eastAsia="宋体" w:cs="Times New Roman"/>
          <w:bCs/>
        </w:rPr>
        <w:t>至无血清。</w:t>
      </w:r>
    </w:p>
    <w:p>
      <w:pPr>
        <w:pStyle w:val="3"/>
        <w:rPr>
          <w:rFonts w:ascii="Times New Roman" w:hAnsi="Times New Roman" w:eastAsia="宋体" w:cs="Times New Roman"/>
        </w:rPr>
      </w:pPr>
      <w:r>
        <w:rPr>
          <w:rFonts w:hint="eastAsia" w:ascii="Times New Roman" w:hAnsi="Times New Roman" w:eastAsia="宋体" w:cs="Times New Roman"/>
        </w:rPr>
        <w:t>3.2.</w:t>
      </w:r>
      <w:r>
        <w:rPr>
          <w:rFonts w:ascii="Times New Roman" w:hAnsi="Times New Roman" w:eastAsia="宋体" w:cs="Times New Roman"/>
        </w:rPr>
        <w:t>2</w:t>
      </w:r>
      <w:r>
        <w:rPr>
          <w:rFonts w:hint="eastAsia" w:ascii="Times New Roman" w:hAnsi="Times New Roman" w:eastAsia="宋体" w:cs="Times New Roman"/>
        </w:rPr>
        <w:t>无血清传代培养</w:t>
      </w:r>
    </w:p>
    <w:p>
      <w:pPr>
        <w:ind w:firstLine="480" w:firstLineChars="200"/>
        <w:rPr>
          <w:rFonts w:eastAsia="宋体" w:cs="Times New Roman"/>
        </w:rPr>
      </w:pPr>
      <w:r>
        <w:rPr>
          <w:rFonts w:hint="eastAsia" w:eastAsia="宋体" w:cs="Times New Roman"/>
        </w:rPr>
        <w:t>完成无血清培养驯化后，需选择对数生长期（1.5-3.5×10</w:t>
      </w:r>
      <w:r>
        <w:rPr>
          <w:rFonts w:eastAsia="宋体" w:cs="Times New Roman"/>
          <w:vertAlign w:val="superscript"/>
        </w:rPr>
        <w:t xml:space="preserve">6 </w:t>
      </w:r>
      <w:r>
        <w:rPr>
          <w:rFonts w:hint="eastAsia" w:eastAsia="宋体" w:cs="Times New Roman"/>
        </w:rPr>
        <w:t>cells/ml）的细胞以密度为0.5×10</w:t>
      </w:r>
      <w:r>
        <w:rPr>
          <w:rFonts w:eastAsia="宋体" w:cs="Times New Roman"/>
          <w:vertAlign w:val="superscript"/>
        </w:rPr>
        <w:t>6</w:t>
      </w:r>
      <w:r>
        <w:rPr>
          <w:rFonts w:eastAsia="宋体" w:cs="Times New Roman"/>
        </w:rPr>
        <w:t xml:space="preserve"> </w:t>
      </w:r>
      <w:r>
        <w:rPr>
          <w:rFonts w:hint="eastAsia" w:eastAsia="宋体" w:cs="Times New Roman"/>
        </w:rPr>
        <w:t>cells/ml接种进行传代培养。</w:t>
      </w:r>
    </w:p>
    <w:p>
      <w:pPr>
        <w:pStyle w:val="2"/>
        <w:numPr>
          <w:ilvl w:val="0"/>
          <w:numId w:val="1"/>
        </w:numPr>
        <w:rPr>
          <w:rFonts w:eastAsia="宋体" w:cs="Times New Roman"/>
        </w:rPr>
      </w:pPr>
      <w:r>
        <w:rPr>
          <w:rFonts w:hint="eastAsia" w:eastAsia="宋体" w:cs="Times New Roman"/>
        </w:rPr>
        <w:t>杂交瘤测序及重组抗体生产</w:t>
      </w:r>
    </w:p>
    <w:p>
      <w:pPr>
        <w:ind w:firstLine="480" w:firstLineChars="200"/>
        <w:rPr>
          <w:rFonts w:eastAsia="宋体" w:cs="Times New Roman"/>
        </w:rPr>
      </w:pPr>
      <w:r>
        <w:rPr>
          <w:rFonts w:hint="eastAsia" w:eastAsia="宋体" w:cs="Times New Roman"/>
        </w:rPr>
        <w:t>客户可根据单克隆抗体用途及用量等权衡是否需要开发重组抗体生产工艺，若需要，则可通过常规的杂交瘤测序方法获取单抗基因序列，构建表达质粒，选择2</w:t>
      </w:r>
      <w:r>
        <w:rPr>
          <w:rFonts w:eastAsia="宋体" w:cs="Times New Roman"/>
        </w:rPr>
        <w:t>93</w:t>
      </w:r>
      <w:r>
        <w:rPr>
          <w:rFonts w:hint="eastAsia" w:eastAsia="宋体" w:cs="Times New Roman"/>
        </w:rPr>
        <w:t>细胞、CHO细胞或其它细胞开展重组抗体生产工艺开发实验。</w:t>
      </w:r>
    </w:p>
    <w:p>
      <w:pPr>
        <w:widowControl/>
        <w:jc w:val="left"/>
        <w:rPr>
          <w:rFonts w:eastAsia="宋体" w:cs="Times New Roman"/>
          <w:b/>
          <w:szCs w:val="24"/>
        </w:rPr>
      </w:pPr>
      <w:r>
        <w:rPr>
          <w:rFonts w:eastAsia="宋体" w:cs="Times New Roman"/>
          <w:b/>
          <w:szCs w:val="24"/>
        </w:rPr>
        <w:br w:type="page"/>
      </w:r>
    </w:p>
    <w:p>
      <w:pPr>
        <w:rPr>
          <w:rFonts w:eastAsia="宋体" w:cs="Times New Roman"/>
          <w:b/>
          <w:bCs/>
          <w:szCs w:val="24"/>
        </w:rPr>
      </w:pPr>
      <w:r>
        <w:rPr>
          <w:rFonts w:eastAsia="宋体" w:cs="Times New Roman"/>
          <w:b/>
          <w:szCs w:val="24"/>
        </w:rPr>
        <w:t>附录:</w:t>
      </w:r>
      <w:r>
        <w:rPr>
          <w:rFonts w:hint="eastAsia" w:eastAsia="宋体" w:cs="Times New Roman"/>
          <w:b/>
          <w:bCs/>
          <w:szCs w:val="24"/>
        </w:rPr>
        <w:t xml:space="preserve"> </w:t>
      </w:r>
    </w:p>
    <w:p>
      <w:pPr>
        <w:jc w:val="center"/>
        <w:rPr>
          <w:rFonts w:eastAsia="宋体" w:cs="Times New Roman"/>
          <w:szCs w:val="21"/>
        </w:rPr>
      </w:pPr>
      <w:r>
        <w:rPr>
          <w:rFonts w:eastAsia="宋体" w:cs="Times New Roman"/>
          <w:szCs w:val="21"/>
        </w:rPr>
        <w:t>表1：试剂清单</w:t>
      </w:r>
      <w:r>
        <w:rPr>
          <w:rFonts w:hint="eastAsia" w:eastAsia="宋体" w:cs="Times New Roman"/>
          <w:szCs w:val="21"/>
        </w:rPr>
        <w:t>说明</w:t>
      </w:r>
    </w:p>
    <w:tbl>
      <w:tblPr>
        <w:tblStyle w:val="13"/>
        <w:tblW w:w="10352" w:type="dxa"/>
        <w:jc w:val="center"/>
        <w:tblBorders>
          <w:top w:val="single" w:color="4472C4" w:themeColor="accent1" w:sz="12" w:space="0"/>
          <w:left w:val="none" w:color="auto" w:sz="0" w:space="0"/>
          <w:bottom w:val="single" w:color="4472C4" w:themeColor="accen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2"/>
        <w:gridCol w:w="1418"/>
        <w:gridCol w:w="5656"/>
        <w:gridCol w:w="1436"/>
      </w:tblGrid>
      <w:tr>
        <w:trPr>
          <w:trHeight w:val="425" w:hRule="atLeast"/>
          <w:jc w:val="center"/>
        </w:trPr>
        <w:tc>
          <w:tcPr>
            <w:tcW w:w="1842" w:type="dxa"/>
            <w:tcBorders>
              <w:top w:val="single" w:color="4472C4" w:sz="12" w:space="0"/>
              <w:left w:val="nil"/>
              <w:bottom w:val="single" w:color="4472C4" w:sz="4" w:space="0"/>
              <w:right w:val="nil"/>
            </w:tcBorders>
            <w:vAlign w:val="center"/>
          </w:tcPr>
          <w:p>
            <w:pPr>
              <w:jc w:val="center"/>
              <w:rPr>
                <w:rFonts w:eastAsia="宋体" w:cs="Times New Roman"/>
                <w:b/>
                <w:sz w:val="21"/>
                <w:szCs w:val="21"/>
              </w:rPr>
            </w:pPr>
            <w:r>
              <w:rPr>
                <w:rFonts w:eastAsia="宋体" w:cs="Times New Roman"/>
                <w:b/>
                <w:sz w:val="21"/>
                <w:szCs w:val="21"/>
              </w:rPr>
              <w:t>产品名称</w:t>
            </w:r>
          </w:p>
        </w:tc>
        <w:tc>
          <w:tcPr>
            <w:tcW w:w="1418" w:type="dxa"/>
            <w:tcBorders>
              <w:top w:val="single" w:color="4472C4" w:sz="12" w:space="0"/>
              <w:left w:val="nil"/>
              <w:bottom w:val="single" w:color="4472C4" w:sz="4" w:space="0"/>
              <w:right w:val="nil"/>
            </w:tcBorders>
            <w:vAlign w:val="center"/>
          </w:tcPr>
          <w:p>
            <w:pPr>
              <w:jc w:val="left"/>
              <w:rPr>
                <w:rFonts w:eastAsia="宋体" w:cs="Times New Roman"/>
                <w:b/>
                <w:sz w:val="21"/>
                <w:szCs w:val="21"/>
              </w:rPr>
            </w:pPr>
            <w:r>
              <w:rPr>
                <w:rFonts w:hint="eastAsia" w:eastAsia="宋体" w:cs="Times New Roman"/>
                <w:b/>
                <w:sz w:val="21"/>
                <w:szCs w:val="21"/>
              </w:rPr>
              <w:t>产品号</w:t>
            </w:r>
          </w:p>
        </w:tc>
        <w:tc>
          <w:tcPr>
            <w:tcW w:w="5656" w:type="dxa"/>
            <w:tcBorders>
              <w:top w:val="single" w:color="4472C4" w:sz="12" w:space="0"/>
              <w:left w:val="nil"/>
              <w:bottom w:val="single" w:color="4472C4" w:sz="4" w:space="0"/>
              <w:right w:val="nil"/>
            </w:tcBorders>
            <w:vAlign w:val="center"/>
          </w:tcPr>
          <w:p>
            <w:pPr>
              <w:jc w:val="center"/>
              <w:rPr>
                <w:rFonts w:eastAsia="宋体" w:cs="Times New Roman"/>
                <w:b/>
                <w:sz w:val="21"/>
                <w:szCs w:val="21"/>
              </w:rPr>
            </w:pPr>
            <w:r>
              <w:rPr>
                <w:rFonts w:hint="eastAsia" w:eastAsia="宋体" w:cs="Times New Roman"/>
                <w:b/>
                <w:sz w:val="21"/>
                <w:szCs w:val="21"/>
              </w:rPr>
              <w:t>产品内容</w:t>
            </w:r>
          </w:p>
        </w:tc>
        <w:tc>
          <w:tcPr>
            <w:tcW w:w="1436" w:type="dxa"/>
            <w:tcBorders>
              <w:top w:val="single" w:color="4472C4" w:sz="12" w:space="0"/>
              <w:left w:val="nil"/>
              <w:bottom w:val="single" w:color="4472C4" w:sz="4" w:space="0"/>
              <w:right w:val="nil"/>
            </w:tcBorders>
            <w:vAlign w:val="center"/>
          </w:tcPr>
          <w:p>
            <w:pPr>
              <w:jc w:val="center"/>
              <w:rPr>
                <w:rFonts w:eastAsia="宋体" w:cs="Times New Roman"/>
                <w:b/>
                <w:sz w:val="21"/>
                <w:szCs w:val="21"/>
              </w:rPr>
            </w:pPr>
            <w:r>
              <w:rPr>
                <w:rFonts w:eastAsia="宋体" w:cs="Times New Roman"/>
                <w:b/>
                <w:sz w:val="21"/>
                <w:szCs w:val="21"/>
              </w:rPr>
              <w:t>规格</w:t>
            </w:r>
          </w:p>
        </w:tc>
      </w:tr>
      <w:tr>
        <w:trPr>
          <w:trHeight w:val="440" w:hRule="atLeast"/>
          <w:jc w:val="center"/>
        </w:trPr>
        <w:tc>
          <w:tcPr>
            <w:tcW w:w="1842" w:type="dxa"/>
            <w:tcBorders>
              <w:top w:val="single" w:color="4472C4" w:sz="4" w:space="0"/>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KD-Advance （无酚红）</w:t>
            </w:r>
          </w:p>
        </w:tc>
        <w:tc>
          <w:tcPr>
            <w:tcW w:w="1418" w:type="dxa"/>
            <w:tcBorders>
              <w:top w:val="single" w:color="4472C4" w:sz="4" w:space="0"/>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K03127-500ml</w:t>
            </w:r>
          </w:p>
        </w:tc>
        <w:tc>
          <w:tcPr>
            <w:tcW w:w="5656" w:type="dxa"/>
            <w:tcBorders>
              <w:top w:val="single" w:color="4472C4" w:sz="4" w:space="0"/>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化学限定无血清基础培养液（无酚红）</w:t>
            </w:r>
          </w:p>
        </w:tc>
        <w:tc>
          <w:tcPr>
            <w:tcW w:w="1436" w:type="dxa"/>
            <w:tcBorders>
              <w:top w:val="single" w:color="4472C4" w:sz="4" w:space="0"/>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50</w:t>
            </w:r>
            <w:r>
              <w:rPr>
                <w:rFonts w:eastAsia="宋体" w:cs="Times New Roman"/>
                <w:sz w:val="21"/>
                <w:szCs w:val="21"/>
              </w:rPr>
              <w:t>0ml</w:t>
            </w:r>
          </w:p>
        </w:tc>
      </w:tr>
      <w:tr>
        <w:trPr>
          <w:trHeight w:val="440" w:hRule="atLeast"/>
          <w:jc w:val="center"/>
        </w:trPr>
        <w:tc>
          <w:tcPr>
            <w:tcW w:w="1842" w:type="dxa"/>
            <w:tcBorders>
              <w:top w:val="nil"/>
              <w:left w:val="nil"/>
              <w:bottom w:val="nil"/>
              <w:right w:val="nil"/>
            </w:tcBorders>
            <w:vAlign w:val="center"/>
          </w:tcPr>
          <w:p>
            <w:pPr>
              <w:jc w:val="center"/>
              <w:rPr>
                <w:rFonts w:eastAsia="宋体" w:cs="Times New Roman"/>
                <w:sz w:val="21"/>
                <w:szCs w:val="21"/>
              </w:rPr>
            </w:pPr>
            <w:r>
              <w:rPr>
                <w:rFonts w:eastAsia="宋体" w:cs="Times New Roman"/>
                <w:sz w:val="21"/>
                <w:szCs w:val="21"/>
              </w:rPr>
              <w:t>K</w:t>
            </w:r>
            <w:r>
              <w:rPr>
                <w:rFonts w:hint="eastAsia" w:eastAsia="宋体" w:cs="Times New Roman"/>
                <w:sz w:val="21"/>
                <w:szCs w:val="21"/>
              </w:rPr>
              <w:t>D-Hybri</w:t>
            </w:r>
          </w:p>
        </w:tc>
        <w:tc>
          <w:tcPr>
            <w:tcW w:w="1418" w:type="dxa"/>
            <w:tcBorders>
              <w:top w:val="nil"/>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K04114</w:t>
            </w:r>
          </w:p>
        </w:tc>
        <w:tc>
          <w:tcPr>
            <w:tcW w:w="565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骨髓瘤及杂交瘤细胞高密度无血清培养液</w:t>
            </w:r>
          </w:p>
        </w:tc>
        <w:tc>
          <w:tcPr>
            <w:tcW w:w="1436" w:type="dxa"/>
            <w:tcBorders>
              <w:top w:val="nil"/>
              <w:left w:val="nil"/>
              <w:bottom w:val="nil"/>
              <w:right w:val="nil"/>
            </w:tcBorders>
            <w:vAlign w:val="center"/>
          </w:tcPr>
          <w:p>
            <w:pPr>
              <w:jc w:val="center"/>
              <w:rPr>
                <w:rFonts w:eastAsia="宋体" w:cs="Times New Roman"/>
                <w:sz w:val="21"/>
                <w:szCs w:val="21"/>
              </w:rPr>
            </w:pPr>
            <w:r>
              <w:rPr>
                <w:rFonts w:eastAsia="宋体" w:cs="Times New Roman"/>
                <w:sz w:val="21"/>
                <w:szCs w:val="21"/>
              </w:rPr>
              <w:t>1</w:t>
            </w:r>
            <w:r>
              <w:rPr>
                <w:rFonts w:hint="eastAsia" w:eastAsia="宋体" w:cs="Times New Roman"/>
                <w:sz w:val="21"/>
                <w:szCs w:val="21"/>
              </w:rPr>
              <w:t>00</w:t>
            </w:r>
            <w:r>
              <w:rPr>
                <w:rFonts w:eastAsia="宋体" w:cs="Times New Roman"/>
                <w:sz w:val="21"/>
                <w:szCs w:val="21"/>
              </w:rPr>
              <w:t>0ml</w:t>
            </w:r>
          </w:p>
        </w:tc>
      </w:tr>
      <w:tr>
        <w:trPr>
          <w:trHeight w:val="440" w:hRule="atLeast"/>
          <w:jc w:val="center"/>
        </w:trPr>
        <w:tc>
          <w:tcPr>
            <w:tcW w:w="1842"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ITSplus</w:t>
            </w:r>
          </w:p>
        </w:tc>
        <w:tc>
          <w:tcPr>
            <w:tcW w:w="1418" w:type="dxa"/>
            <w:tcBorders>
              <w:top w:val="nil"/>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K50001</w:t>
            </w:r>
          </w:p>
        </w:tc>
        <w:tc>
          <w:tcPr>
            <w:tcW w:w="565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人重组蛋白（IGF-1, Transferrin, HSA）以及Selenium等</w:t>
            </w:r>
          </w:p>
        </w:tc>
        <w:tc>
          <w:tcPr>
            <w:tcW w:w="143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10</w:t>
            </w:r>
            <w:r>
              <w:rPr>
                <w:rFonts w:eastAsia="宋体" w:cs="Times New Roman"/>
                <w:sz w:val="21"/>
                <w:szCs w:val="21"/>
              </w:rPr>
              <w:t>ml</w:t>
            </w:r>
            <w:r>
              <w:rPr>
                <w:rFonts w:hint="eastAsia" w:eastAsia="宋体" w:cs="Times New Roman"/>
                <w:sz w:val="21"/>
                <w:szCs w:val="21"/>
              </w:rPr>
              <w:t>(100X)</w:t>
            </w:r>
          </w:p>
        </w:tc>
      </w:tr>
      <w:tr>
        <w:trPr>
          <w:trHeight w:val="440" w:hRule="atLeast"/>
          <w:jc w:val="center"/>
        </w:trPr>
        <w:tc>
          <w:tcPr>
            <w:tcW w:w="1842"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KD-Clone</w:t>
            </w:r>
          </w:p>
        </w:tc>
        <w:tc>
          <w:tcPr>
            <w:tcW w:w="1418" w:type="dxa"/>
            <w:tcBorders>
              <w:top w:val="nil"/>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K07001</w:t>
            </w:r>
          </w:p>
        </w:tc>
        <w:tc>
          <w:tcPr>
            <w:tcW w:w="565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杂交瘤细胞无血清克隆培养液</w:t>
            </w:r>
          </w:p>
        </w:tc>
        <w:tc>
          <w:tcPr>
            <w:tcW w:w="1436" w:type="dxa"/>
            <w:tcBorders>
              <w:top w:val="nil"/>
              <w:left w:val="nil"/>
              <w:bottom w:val="nil"/>
              <w:right w:val="nil"/>
            </w:tcBorders>
            <w:vAlign w:val="center"/>
          </w:tcPr>
          <w:p>
            <w:pPr>
              <w:jc w:val="center"/>
              <w:rPr>
                <w:rFonts w:eastAsia="宋体" w:cs="Times New Roman"/>
                <w:sz w:val="21"/>
                <w:szCs w:val="21"/>
              </w:rPr>
            </w:pPr>
            <w:r>
              <w:rPr>
                <w:rFonts w:eastAsia="宋体" w:cs="Times New Roman"/>
                <w:sz w:val="21"/>
                <w:szCs w:val="21"/>
              </w:rPr>
              <w:t>25</w:t>
            </w:r>
            <w:r>
              <w:rPr>
                <w:rFonts w:hint="eastAsia" w:eastAsia="宋体" w:cs="Times New Roman"/>
                <w:sz w:val="21"/>
                <w:szCs w:val="21"/>
              </w:rPr>
              <w:t>0</w:t>
            </w:r>
            <w:r>
              <w:rPr>
                <w:rFonts w:eastAsia="宋体" w:cs="Times New Roman"/>
                <w:sz w:val="21"/>
                <w:szCs w:val="21"/>
              </w:rPr>
              <w:t>ml</w:t>
            </w:r>
          </w:p>
        </w:tc>
      </w:tr>
      <w:tr>
        <w:trPr>
          <w:trHeight w:val="440" w:hRule="atLeast"/>
          <w:jc w:val="center"/>
        </w:trPr>
        <w:tc>
          <w:tcPr>
            <w:tcW w:w="1842" w:type="dxa"/>
            <w:tcBorders>
              <w:top w:val="nil"/>
              <w:left w:val="nil"/>
              <w:bottom w:val="nil"/>
              <w:right w:val="nil"/>
            </w:tcBorders>
            <w:vAlign w:val="center"/>
          </w:tcPr>
          <w:p>
            <w:pPr>
              <w:jc w:val="center"/>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KD-HybriGro</w:t>
            </w:r>
          </w:p>
        </w:tc>
        <w:tc>
          <w:tcPr>
            <w:tcW w:w="1418" w:type="dxa"/>
            <w:tcBorders>
              <w:top w:val="nil"/>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K50002</w:t>
            </w:r>
          </w:p>
        </w:tc>
        <w:tc>
          <w:tcPr>
            <w:tcW w:w="565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杂交瘤促生长组合因子</w:t>
            </w:r>
          </w:p>
        </w:tc>
        <w:tc>
          <w:tcPr>
            <w:tcW w:w="143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10ml</w:t>
            </w:r>
          </w:p>
        </w:tc>
      </w:tr>
      <w:tr>
        <w:trPr>
          <w:trHeight w:val="440" w:hRule="atLeast"/>
          <w:jc w:val="center"/>
        </w:trPr>
        <w:tc>
          <w:tcPr>
            <w:tcW w:w="1842"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color w:val="000000" w:themeColor="text1"/>
                <w:sz w:val="21"/>
                <w:szCs w:val="21"/>
                <w14:textFill>
                  <w14:solidFill>
                    <w14:schemeClr w14:val="tx1"/>
                  </w14:solidFill>
                </w14:textFill>
              </w:rPr>
              <w:t>KD-Freeze</w:t>
            </w:r>
          </w:p>
        </w:tc>
        <w:tc>
          <w:tcPr>
            <w:tcW w:w="1418" w:type="dxa"/>
            <w:tcBorders>
              <w:top w:val="nil"/>
              <w:left w:val="nil"/>
              <w:bottom w:val="nil"/>
              <w:right w:val="nil"/>
            </w:tcBorders>
            <w:vAlign w:val="center"/>
          </w:tcPr>
          <w:p>
            <w:pPr>
              <w:jc w:val="left"/>
              <w:rPr>
                <w:rFonts w:eastAsia="宋体" w:cs="Times New Roman"/>
                <w:sz w:val="21"/>
                <w:szCs w:val="21"/>
              </w:rPr>
            </w:pPr>
            <w:r>
              <w:rPr>
                <w:rFonts w:hint="eastAsia" w:eastAsia="宋体" w:cs="Times New Roman"/>
                <w:sz w:val="21"/>
                <w:szCs w:val="21"/>
              </w:rPr>
              <w:t>K60001</w:t>
            </w:r>
          </w:p>
        </w:tc>
        <w:tc>
          <w:tcPr>
            <w:tcW w:w="565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无血清细胞冻存液</w:t>
            </w:r>
          </w:p>
        </w:tc>
        <w:tc>
          <w:tcPr>
            <w:tcW w:w="1436" w:type="dxa"/>
            <w:tcBorders>
              <w:top w:val="nil"/>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0ml</w:t>
            </w:r>
          </w:p>
        </w:tc>
      </w:tr>
      <w:tr>
        <w:trPr>
          <w:trHeight w:val="770" w:hRule="atLeast"/>
          <w:jc w:val="center"/>
        </w:trPr>
        <w:tc>
          <w:tcPr>
            <w:tcW w:w="1842" w:type="dxa"/>
            <w:tcBorders>
              <w:top w:val="single" w:color="auto" w:sz="4" w:space="0"/>
              <w:left w:val="nil"/>
              <w:bottom w:val="nil"/>
              <w:right w:val="nil"/>
            </w:tcBorders>
            <w:vAlign w:val="center"/>
          </w:tcPr>
          <w:p>
            <w:pPr>
              <w:jc w:val="center"/>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HMT</w:t>
            </w:r>
          </w:p>
          <w:p>
            <w:pPr>
              <w:jc w:val="center"/>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HT</w:t>
            </w:r>
          </w:p>
        </w:tc>
        <w:tc>
          <w:tcPr>
            <w:tcW w:w="1418" w:type="dxa"/>
            <w:tcBorders>
              <w:top w:val="single" w:color="auto" w:sz="4" w:space="0"/>
              <w:left w:val="nil"/>
              <w:bottom w:val="nil"/>
              <w:right w:val="nil"/>
            </w:tcBorders>
            <w:vAlign w:val="center"/>
          </w:tcPr>
          <w:p>
            <w:pPr>
              <w:jc w:val="left"/>
              <w:rPr>
                <w:rFonts w:eastAsia="宋体" w:cs="Times New Roman"/>
                <w:sz w:val="21"/>
                <w:szCs w:val="21"/>
              </w:rPr>
            </w:pPr>
            <w:r>
              <w:rPr>
                <w:rFonts w:eastAsia="宋体" w:cs="Times New Roman"/>
                <w:sz w:val="21"/>
                <w:szCs w:val="21"/>
              </w:rPr>
              <w:t>K04201</w:t>
            </w:r>
          </w:p>
          <w:p>
            <w:pPr>
              <w:jc w:val="left"/>
              <w:rPr>
                <w:rFonts w:eastAsia="宋体" w:cs="Times New Roman"/>
                <w:sz w:val="21"/>
                <w:szCs w:val="21"/>
              </w:rPr>
            </w:pPr>
            <w:r>
              <w:rPr>
                <w:rFonts w:eastAsia="宋体" w:cs="Times New Roman"/>
                <w:sz w:val="21"/>
                <w:szCs w:val="21"/>
              </w:rPr>
              <w:t>K04211</w:t>
            </w:r>
          </w:p>
        </w:tc>
        <w:tc>
          <w:tcPr>
            <w:tcW w:w="5656" w:type="dxa"/>
            <w:tcBorders>
              <w:top w:val="single" w:color="auto" w:sz="4" w:space="0"/>
              <w:left w:val="nil"/>
              <w:bottom w:val="nil"/>
              <w:right w:val="nil"/>
            </w:tcBorders>
            <w:vAlign w:val="center"/>
          </w:tcPr>
          <w:p>
            <w:pPr>
              <w:jc w:val="center"/>
              <w:rPr>
                <w:rFonts w:eastAsia="宋体" w:cs="Times New Roman"/>
                <w:sz w:val="21"/>
                <w:szCs w:val="21"/>
              </w:rPr>
            </w:pPr>
            <w:r>
              <w:rPr>
                <w:rFonts w:hint="eastAsia" w:eastAsia="宋体" w:cs="Times New Roman"/>
                <w:sz w:val="21"/>
                <w:szCs w:val="21"/>
              </w:rPr>
              <w:t>杂交瘤筛选试剂</w:t>
            </w:r>
          </w:p>
          <w:p>
            <w:pPr>
              <w:jc w:val="center"/>
              <w:rPr>
                <w:rFonts w:eastAsia="宋体" w:cs="Times New Roman"/>
                <w:sz w:val="21"/>
                <w:szCs w:val="21"/>
              </w:rPr>
            </w:pPr>
            <w:r>
              <w:rPr>
                <w:rFonts w:hint="eastAsia" w:eastAsia="宋体" w:cs="Times New Roman"/>
                <w:sz w:val="21"/>
                <w:szCs w:val="21"/>
              </w:rPr>
              <w:t>细胞培养添加剂</w:t>
            </w:r>
          </w:p>
        </w:tc>
        <w:tc>
          <w:tcPr>
            <w:tcW w:w="1436" w:type="dxa"/>
            <w:tcBorders>
              <w:top w:val="single" w:color="auto" w:sz="4" w:space="0"/>
              <w:left w:val="nil"/>
              <w:bottom w:val="nil"/>
              <w:right w:val="nil"/>
            </w:tcBorders>
            <w:vAlign w:val="center"/>
          </w:tcPr>
          <w:p>
            <w:pPr>
              <w:jc w:val="center"/>
              <w:rPr>
                <w:rFonts w:eastAsia="宋体" w:cs="Times New Roman"/>
                <w:sz w:val="21"/>
                <w:szCs w:val="21"/>
              </w:rPr>
            </w:pPr>
            <w:r>
              <w:rPr>
                <w:rFonts w:eastAsia="宋体" w:cs="Times New Roman"/>
                <w:sz w:val="21"/>
                <w:szCs w:val="21"/>
              </w:rPr>
              <w:t>20ml</w:t>
            </w:r>
            <w:r>
              <w:rPr>
                <w:rFonts w:hint="eastAsia" w:eastAsia="宋体" w:cs="Times New Roman"/>
                <w:sz w:val="21"/>
                <w:szCs w:val="21"/>
              </w:rPr>
              <w:t>(</w:t>
            </w:r>
            <w:r>
              <w:rPr>
                <w:rFonts w:eastAsia="宋体" w:cs="Times New Roman"/>
                <w:sz w:val="21"/>
                <w:szCs w:val="21"/>
              </w:rPr>
              <w:t>50X)</w:t>
            </w:r>
          </w:p>
          <w:p>
            <w:pPr>
              <w:jc w:val="center"/>
              <w:rPr>
                <w:rFonts w:eastAsia="宋体" w:cs="Times New Roman"/>
                <w:sz w:val="21"/>
                <w:szCs w:val="21"/>
              </w:rPr>
            </w:pPr>
            <w:r>
              <w:rPr>
                <w:rFonts w:eastAsia="宋体" w:cs="Times New Roman"/>
                <w:sz w:val="21"/>
                <w:szCs w:val="21"/>
              </w:rPr>
              <w:t>20</w:t>
            </w:r>
            <w:r>
              <w:rPr>
                <w:rFonts w:hint="eastAsia" w:eastAsia="宋体" w:cs="Times New Roman"/>
                <w:sz w:val="21"/>
                <w:szCs w:val="21"/>
              </w:rPr>
              <w:t>ml</w:t>
            </w:r>
            <w:r>
              <w:rPr>
                <w:rFonts w:eastAsia="宋体" w:cs="Times New Roman"/>
                <w:sz w:val="21"/>
                <w:szCs w:val="21"/>
              </w:rPr>
              <w:t>(50X)</w:t>
            </w:r>
          </w:p>
        </w:tc>
      </w:tr>
      <w:tr>
        <w:trPr>
          <w:trHeight w:val="239" w:hRule="atLeast"/>
          <w:jc w:val="center"/>
        </w:trPr>
        <w:tc>
          <w:tcPr>
            <w:tcW w:w="1842" w:type="dxa"/>
            <w:tcBorders>
              <w:top w:val="nil"/>
              <w:left w:val="nil"/>
              <w:bottom w:val="single" w:color="4472C4" w:sz="12" w:space="0"/>
              <w:right w:val="nil"/>
            </w:tcBorders>
            <w:vAlign w:val="center"/>
          </w:tcPr>
          <w:p>
            <w:pPr>
              <w:jc w:val="center"/>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F</w:t>
            </w:r>
            <w:r>
              <w:rPr>
                <w:rFonts w:eastAsia="宋体" w:cs="Times New Roman"/>
                <w:color w:val="000000" w:themeColor="text1"/>
                <w:sz w:val="21"/>
                <w:szCs w:val="21"/>
                <w14:textFill>
                  <w14:solidFill>
                    <w14:schemeClr w14:val="tx1"/>
                  </w14:solidFill>
                </w14:textFill>
              </w:rPr>
              <w:t>BS</w:t>
            </w:r>
          </w:p>
        </w:tc>
        <w:tc>
          <w:tcPr>
            <w:tcW w:w="1418" w:type="dxa"/>
            <w:tcBorders>
              <w:top w:val="nil"/>
              <w:left w:val="nil"/>
              <w:bottom w:val="single" w:color="4472C4" w:sz="12" w:space="0"/>
              <w:right w:val="nil"/>
            </w:tcBorders>
            <w:vAlign w:val="center"/>
          </w:tcPr>
          <w:p>
            <w:pPr>
              <w:jc w:val="left"/>
              <w:rPr>
                <w:rFonts w:eastAsia="宋体" w:cs="Times New Roman"/>
                <w:sz w:val="21"/>
                <w:szCs w:val="21"/>
              </w:rPr>
            </w:pPr>
            <w:r>
              <w:rPr>
                <w:rFonts w:eastAsia="宋体" w:cs="Times New Roman"/>
                <w:sz w:val="21"/>
                <w:szCs w:val="21"/>
              </w:rPr>
              <w:t>R01100</w:t>
            </w:r>
          </w:p>
        </w:tc>
        <w:tc>
          <w:tcPr>
            <w:tcW w:w="5656" w:type="dxa"/>
            <w:tcBorders>
              <w:top w:val="nil"/>
              <w:left w:val="nil"/>
              <w:bottom w:val="single" w:color="4472C4" w:sz="12" w:space="0"/>
              <w:right w:val="nil"/>
            </w:tcBorders>
            <w:vAlign w:val="center"/>
          </w:tcPr>
          <w:p>
            <w:pPr>
              <w:jc w:val="center"/>
              <w:rPr>
                <w:rFonts w:eastAsia="宋体" w:cs="Times New Roman"/>
                <w:sz w:val="21"/>
                <w:szCs w:val="21"/>
              </w:rPr>
            </w:pPr>
            <w:r>
              <w:rPr>
                <w:rFonts w:hint="eastAsia" w:eastAsia="宋体" w:cs="Times New Roman"/>
                <w:sz w:val="21"/>
                <w:szCs w:val="21"/>
              </w:rPr>
              <w:t>胎牛血清（珠海恺瑞杂交瘤培养质量认证批次）</w:t>
            </w:r>
          </w:p>
        </w:tc>
        <w:tc>
          <w:tcPr>
            <w:tcW w:w="1436" w:type="dxa"/>
            <w:tcBorders>
              <w:top w:val="nil"/>
              <w:left w:val="nil"/>
              <w:bottom w:val="single" w:color="4472C4" w:sz="12" w:space="0"/>
              <w:right w:val="nil"/>
            </w:tcBorders>
            <w:vAlign w:val="center"/>
          </w:tcPr>
          <w:p>
            <w:pPr>
              <w:jc w:val="center"/>
              <w:rPr>
                <w:rFonts w:eastAsia="宋体" w:cs="Times New Roman"/>
                <w:sz w:val="21"/>
                <w:szCs w:val="21"/>
              </w:rPr>
            </w:pPr>
            <w:r>
              <w:rPr>
                <w:rFonts w:hint="eastAsia" w:eastAsia="宋体" w:cs="Times New Roman"/>
                <w:sz w:val="21"/>
                <w:szCs w:val="21"/>
              </w:rPr>
              <w:t>100ml</w:t>
            </w:r>
          </w:p>
        </w:tc>
      </w:tr>
    </w:tbl>
    <w:p>
      <w:pPr>
        <w:pStyle w:val="5"/>
        <w:rPr>
          <w:rFonts w:ascii="Times New Roman" w:hAnsi="Times New Roman" w:eastAsia="宋体" w:cs="Times New Roman"/>
          <w:sz w:val="24"/>
          <w:szCs w:val="24"/>
          <w:lang w:val="en-US" w:bidi="ar-SA"/>
        </w:rPr>
      </w:pPr>
    </w:p>
    <w:sectPr>
      <w:headerReference r:id="rId5" w:type="default"/>
      <w:footerReference r:id="rId6" w:type="default"/>
      <w:pgSz w:w="12240" w:h="15840"/>
      <w:pgMar w:top="1440" w:right="1077" w:bottom="1440" w:left="1077"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0000000000000000000"/>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2989176"/>
    </w:sdtPr>
    <w:sdtContent>
      <w:sdt>
        <w:sdtPr>
          <w:id w:val="-1"/>
        </w:sdtPr>
        <w:sdtContent>
          <w:p>
            <w:pPr>
              <w:pStyle w:val="7"/>
              <w:jc w:val="right"/>
            </w:pPr>
            <w:r>
              <w:rPr>
                <w:lang w:val="zh-CN"/>
              </w:rPr>
              <w:t xml:space="preserve"> </w:t>
            </w:r>
            <w:r>
              <w:rPr>
                <w:b/>
                <w:bCs/>
                <w:szCs w:val="24"/>
              </w:rPr>
              <w:fldChar w:fldCharType="begin"/>
            </w:r>
            <w:r>
              <w:rPr>
                <w:b/>
                <w:bCs/>
              </w:rPr>
              <w:instrText xml:space="preserve">PAGE</w:instrText>
            </w:r>
            <w:r>
              <w:rPr>
                <w:b/>
                <w:bCs/>
                <w:szCs w:val="24"/>
              </w:rPr>
              <w:fldChar w:fldCharType="separate"/>
            </w:r>
            <w:r>
              <w:rPr>
                <w:b/>
                <w:bCs/>
              </w:rPr>
              <w:t>4</w:t>
            </w:r>
            <w:r>
              <w:rPr>
                <w:b/>
                <w:bCs/>
                <w:szCs w:val="24"/>
              </w:rPr>
              <w:fldChar w:fldCharType="end"/>
            </w:r>
            <w:r>
              <w:rPr>
                <w:lang w:val="zh-CN"/>
              </w:rPr>
              <w:t xml:space="preserve"> / </w:t>
            </w:r>
            <w:r>
              <w:rPr>
                <w:b/>
                <w:bCs/>
                <w:szCs w:val="24"/>
              </w:rPr>
              <w:fldChar w:fldCharType="begin"/>
            </w:r>
            <w:r>
              <w:rPr>
                <w:b/>
                <w:bCs/>
              </w:rPr>
              <w:instrText xml:space="preserve">NUMPAGES</w:instrText>
            </w:r>
            <w:r>
              <w:rPr>
                <w:b/>
                <w:bCs/>
                <w:szCs w:val="24"/>
              </w:rPr>
              <w:fldChar w:fldCharType="separate"/>
            </w:r>
            <w:r>
              <w:rPr>
                <w:b/>
                <w:bCs/>
              </w:rPr>
              <w:t>5</w:t>
            </w:r>
            <w:r>
              <w:rPr>
                <w:b/>
                <w:bCs/>
                <w:szCs w:val="24"/>
              </w:rPr>
              <w:fldChar w:fldCharType="end"/>
            </w:r>
          </w:p>
        </w:sdtContent>
      </w:sdt>
    </w:sdtContent>
  </w:sdt>
  <w:p>
    <w:pPr>
      <w:pStyle w:val="7"/>
    </w:pPr>
    <w:r>
      <w:t>www.kairuibiotech.com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tabs>
        <w:tab w:val="center" w:pos="4153"/>
        <w:tab w:val="right" w:pos="8306"/>
        <w:tab w:val="clear" w:pos="4680"/>
        <w:tab w:val="clear" w:pos="9360"/>
      </w:tabs>
      <w:rPr>
        <w:color w:val="000000" w:themeColor="text1"/>
        <w:sz w:val="18"/>
        <w:szCs w:val="18"/>
        <w14:textFill>
          <w14:solidFill>
            <w14:schemeClr w14:val="tx1"/>
          </w14:solidFill>
        </w14:textFill>
      </w:rPr>
    </w:pPr>
    <w:r>
      <w:rPr>
        <w:rFonts w:hint="eastAsia"/>
      </w:rPr>
      <w:drawing>
        <wp:inline distT="0" distB="0" distL="114300" distR="114300">
          <wp:extent cx="924560" cy="318770"/>
          <wp:effectExtent l="0" t="0" r="0" b="4445"/>
          <wp:docPr id="3" name="图片 3" descr="C:\Users\hp\Desktop\珠海恺瑞LOGO.png珠海恺瑞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p\Desktop\珠海恺瑞LOGO.png珠海恺瑞LOGO"/>
                  <pic:cNvPicPr>
                    <a:picLocks noChangeAspect="1"/>
                  </pic:cNvPicPr>
                </pic:nvPicPr>
                <pic:blipFill>
                  <a:blip r:embed="rId1"/>
                  <a:srcRect/>
                  <a:stretch>
                    <a:fillRect/>
                  </a:stretch>
                </pic:blipFill>
                <pic:spPr>
                  <a:xfrm>
                    <a:off x="0" y="0"/>
                    <a:ext cx="924560" cy="318770"/>
                  </a:xfrm>
                  <a:prstGeom prst="rect">
                    <a:avLst/>
                  </a:prstGeom>
                </pic:spPr>
              </pic:pic>
            </a:graphicData>
          </a:graphic>
        </wp:inline>
      </w:drawing>
    </w:r>
    <w:r>
      <w:rPr>
        <w:rFonts w:hint="eastAsia"/>
      </w:rPr>
      <w:t xml:space="preserve">                                                   </w:t>
    </w:r>
    <w:r>
      <w:t xml:space="preserve">                                                       </w:t>
    </w:r>
    <w:r>
      <w:rPr>
        <w:rFonts w:hint="eastAsia"/>
        <w:sz w:val="18"/>
        <w:szCs w:val="18"/>
      </w:rPr>
      <w:t>Tel：0756-363118</w:t>
    </w:r>
    <w:r>
      <w:rPr>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E9F00"/>
    <w:multiLevelType w:val="singleLevel"/>
    <w:tmpl w:val="9C8E9F00"/>
    <w:lvl w:ilvl="0" w:tentative="0">
      <w:start w:val="1"/>
      <w:numFmt w:val="decimal"/>
      <w:lvlText w:val="(%1)"/>
      <w:lvlJc w:val="left"/>
      <w:pPr>
        <w:ind w:left="425" w:hanging="425"/>
      </w:pPr>
      <w:rPr>
        <w:rFonts w:hint="default"/>
        <w:b/>
        <w:bCs/>
      </w:rPr>
    </w:lvl>
  </w:abstractNum>
  <w:abstractNum w:abstractNumId="1">
    <w:nsid w:val="25CD7551"/>
    <w:multiLevelType w:val="multilevel"/>
    <w:tmpl w:val="25CD75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7764C5"/>
    <w:multiLevelType w:val="multilevel"/>
    <w:tmpl w:val="6F7764C5"/>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ZmQzNmZmMmJjODY2M2YxOWRjMjU0YjAwMmY0MzgifQ=="/>
  </w:docVars>
  <w:rsids>
    <w:rsidRoot w:val="00321B63"/>
    <w:rsid w:val="00015107"/>
    <w:rsid w:val="00030895"/>
    <w:rsid w:val="00033169"/>
    <w:rsid w:val="0004434D"/>
    <w:rsid w:val="000612A1"/>
    <w:rsid w:val="000855F5"/>
    <w:rsid w:val="00086BEC"/>
    <w:rsid w:val="00094E4F"/>
    <w:rsid w:val="000A660C"/>
    <w:rsid w:val="000B6353"/>
    <w:rsid w:val="000B7140"/>
    <w:rsid w:val="000B7222"/>
    <w:rsid w:val="000D2B66"/>
    <w:rsid w:val="0012768D"/>
    <w:rsid w:val="0013106B"/>
    <w:rsid w:val="00170759"/>
    <w:rsid w:val="001731C2"/>
    <w:rsid w:val="001743E5"/>
    <w:rsid w:val="001858E3"/>
    <w:rsid w:val="00185C7F"/>
    <w:rsid w:val="00187B70"/>
    <w:rsid w:val="001C1013"/>
    <w:rsid w:val="001F2A72"/>
    <w:rsid w:val="001F4793"/>
    <w:rsid w:val="002003CA"/>
    <w:rsid w:val="0022116F"/>
    <w:rsid w:val="00227454"/>
    <w:rsid w:val="00227D65"/>
    <w:rsid w:val="00230B30"/>
    <w:rsid w:val="00241AB6"/>
    <w:rsid w:val="0025467B"/>
    <w:rsid w:val="00265EAF"/>
    <w:rsid w:val="00270609"/>
    <w:rsid w:val="002A1A43"/>
    <w:rsid w:val="002C14F7"/>
    <w:rsid w:val="002C42B1"/>
    <w:rsid w:val="002E32E2"/>
    <w:rsid w:val="002E4CE2"/>
    <w:rsid w:val="002F01C7"/>
    <w:rsid w:val="002F63E1"/>
    <w:rsid w:val="0030038B"/>
    <w:rsid w:val="00312CDC"/>
    <w:rsid w:val="003173AA"/>
    <w:rsid w:val="00321B63"/>
    <w:rsid w:val="00322C89"/>
    <w:rsid w:val="003251FF"/>
    <w:rsid w:val="00351E35"/>
    <w:rsid w:val="0035384F"/>
    <w:rsid w:val="00364C02"/>
    <w:rsid w:val="00381BA5"/>
    <w:rsid w:val="003A6A97"/>
    <w:rsid w:val="003A7AAA"/>
    <w:rsid w:val="003E0E37"/>
    <w:rsid w:val="003E29D7"/>
    <w:rsid w:val="003E77D6"/>
    <w:rsid w:val="00401863"/>
    <w:rsid w:val="00426930"/>
    <w:rsid w:val="0044241E"/>
    <w:rsid w:val="00445730"/>
    <w:rsid w:val="00445F4F"/>
    <w:rsid w:val="00452FB5"/>
    <w:rsid w:val="0046097B"/>
    <w:rsid w:val="00461627"/>
    <w:rsid w:val="0049116F"/>
    <w:rsid w:val="004C573C"/>
    <w:rsid w:val="004D1AC0"/>
    <w:rsid w:val="004D2DE8"/>
    <w:rsid w:val="004E7429"/>
    <w:rsid w:val="004F17FC"/>
    <w:rsid w:val="004F7278"/>
    <w:rsid w:val="00552AB9"/>
    <w:rsid w:val="00586D0C"/>
    <w:rsid w:val="005A7239"/>
    <w:rsid w:val="005B2FBB"/>
    <w:rsid w:val="005C74CD"/>
    <w:rsid w:val="00604783"/>
    <w:rsid w:val="00614DD9"/>
    <w:rsid w:val="00616607"/>
    <w:rsid w:val="0061788A"/>
    <w:rsid w:val="006A53E2"/>
    <w:rsid w:val="006B3DD6"/>
    <w:rsid w:val="006C2CC7"/>
    <w:rsid w:val="006D0F7E"/>
    <w:rsid w:val="006D7D7B"/>
    <w:rsid w:val="006F1484"/>
    <w:rsid w:val="006F5EFD"/>
    <w:rsid w:val="00707AD4"/>
    <w:rsid w:val="00713E6E"/>
    <w:rsid w:val="00725019"/>
    <w:rsid w:val="00734B73"/>
    <w:rsid w:val="00734F7A"/>
    <w:rsid w:val="00765548"/>
    <w:rsid w:val="007713BE"/>
    <w:rsid w:val="007931D6"/>
    <w:rsid w:val="007A6993"/>
    <w:rsid w:val="008123DB"/>
    <w:rsid w:val="0082242B"/>
    <w:rsid w:val="00852DF4"/>
    <w:rsid w:val="00855134"/>
    <w:rsid w:val="00864ACF"/>
    <w:rsid w:val="00871E33"/>
    <w:rsid w:val="00871F81"/>
    <w:rsid w:val="0087533C"/>
    <w:rsid w:val="008A334C"/>
    <w:rsid w:val="008C2A37"/>
    <w:rsid w:val="008C65FF"/>
    <w:rsid w:val="008C7285"/>
    <w:rsid w:val="008F77B8"/>
    <w:rsid w:val="00946DDE"/>
    <w:rsid w:val="0096535E"/>
    <w:rsid w:val="00980884"/>
    <w:rsid w:val="00987EE0"/>
    <w:rsid w:val="009B513D"/>
    <w:rsid w:val="009B74A8"/>
    <w:rsid w:val="009C4741"/>
    <w:rsid w:val="009F520F"/>
    <w:rsid w:val="00A02813"/>
    <w:rsid w:val="00A078C6"/>
    <w:rsid w:val="00A4367C"/>
    <w:rsid w:val="00A437CE"/>
    <w:rsid w:val="00A64849"/>
    <w:rsid w:val="00A80A9F"/>
    <w:rsid w:val="00AA4AF2"/>
    <w:rsid w:val="00AA6B2A"/>
    <w:rsid w:val="00AA73B7"/>
    <w:rsid w:val="00AB3A0D"/>
    <w:rsid w:val="00AE01D1"/>
    <w:rsid w:val="00AE6D6E"/>
    <w:rsid w:val="00B07109"/>
    <w:rsid w:val="00B237D5"/>
    <w:rsid w:val="00B24AAA"/>
    <w:rsid w:val="00B70E43"/>
    <w:rsid w:val="00B71A24"/>
    <w:rsid w:val="00B8193A"/>
    <w:rsid w:val="00B9036D"/>
    <w:rsid w:val="00B97A6A"/>
    <w:rsid w:val="00BA684E"/>
    <w:rsid w:val="00BB00EA"/>
    <w:rsid w:val="00BE30F9"/>
    <w:rsid w:val="00BE7905"/>
    <w:rsid w:val="00C021FE"/>
    <w:rsid w:val="00C65722"/>
    <w:rsid w:val="00CA0A28"/>
    <w:rsid w:val="00CA281E"/>
    <w:rsid w:val="00CF436C"/>
    <w:rsid w:val="00D00592"/>
    <w:rsid w:val="00D27EF6"/>
    <w:rsid w:val="00D37397"/>
    <w:rsid w:val="00D3751A"/>
    <w:rsid w:val="00D4409B"/>
    <w:rsid w:val="00D522CF"/>
    <w:rsid w:val="00D53A1C"/>
    <w:rsid w:val="00D57856"/>
    <w:rsid w:val="00D72E79"/>
    <w:rsid w:val="00D73BE4"/>
    <w:rsid w:val="00D83DB2"/>
    <w:rsid w:val="00D84E89"/>
    <w:rsid w:val="00D8627A"/>
    <w:rsid w:val="00DA3593"/>
    <w:rsid w:val="00DB00C5"/>
    <w:rsid w:val="00DE5064"/>
    <w:rsid w:val="00DF20ED"/>
    <w:rsid w:val="00E027EE"/>
    <w:rsid w:val="00E25CD3"/>
    <w:rsid w:val="00E2617E"/>
    <w:rsid w:val="00E27C72"/>
    <w:rsid w:val="00E71A31"/>
    <w:rsid w:val="00E74702"/>
    <w:rsid w:val="00ED2EBE"/>
    <w:rsid w:val="00EF4BC9"/>
    <w:rsid w:val="00EF4E15"/>
    <w:rsid w:val="00F00616"/>
    <w:rsid w:val="00F01652"/>
    <w:rsid w:val="00F03B33"/>
    <w:rsid w:val="00F134AE"/>
    <w:rsid w:val="00F308A6"/>
    <w:rsid w:val="00F3133F"/>
    <w:rsid w:val="00F44F75"/>
    <w:rsid w:val="00F626D9"/>
    <w:rsid w:val="00F7379C"/>
    <w:rsid w:val="00F81601"/>
    <w:rsid w:val="00F91683"/>
    <w:rsid w:val="00FC141F"/>
    <w:rsid w:val="00FD2BEC"/>
    <w:rsid w:val="00FF7F76"/>
    <w:rsid w:val="03886AB7"/>
    <w:rsid w:val="07C45B60"/>
    <w:rsid w:val="08C0419C"/>
    <w:rsid w:val="0A0F2D98"/>
    <w:rsid w:val="0A9E2B31"/>
    <w:rsid w:val="0AC60FFE"/>
    <w:rsid w:val="14CC42BF"/>
    <w:rsid w:val="18595B0E"/>
    <w:rsid w:val="18617020"/>
    <w:rsid w:val="194A5075"/>
    <w:rsid w:val="19B972FD"/>
    <w:rsid w:val="1AAE2F18"/>
    <w:rsid w:val="1CA81741"/>
    <w:rsid w:val="1F6031C5"/>
    <w:rsid w:val="22A31803"/>
    <w:rsid w:val="254C4810"/>
    <w:rsid w:val="27446F85"/>
    <w:rsid w:val="290F7F2E"/>
    <w:rsid w:val="29256705"/>
    <w:rsid w:val="2ADB648D"/>
    <w:rsid w:val="2B003F46"/>
    <w:rsid w:val="2DD6619A"/>
    <w:rsid w:val="2E7C1C21"/>
    <w:rsid w:val="324F0F7A"/>
    <w:rsid w:val="33BB5A3D"/>
    <w:rsid w:val="349F1EA0"/>
    <w:rsid w:val="361424F5"/>
    <w:rsid w:val="37296B51"/>
    <w:rsid w:val="381F3020"/>
    <w:rsid w:val="385C468F"/>
    <w:rsid w:val="3B37069F"/>
    <w:rsid w:val="3C137949"/>
    <w:rsid w:val="3E035ACC"/>
    <w:rsid w:val="3E7E7C70"/>
    <w:rsid w:val="3E9F3A31"/>
    <w:rsid w:val="40A66F2F"/>
    <w:rsid w:val="43055BE4"/>
    <w:rsid w:val="443154FB"/>
    <w:rsid w:val="450F707D"/>
    <w:rsid w:val="458322FB"/>
    <w:rsid w:val="4C7434AD"/>
    <w:rsid w:val="4CEB0079"/>
    <w:rsid w:val="4F272D01"/>
    <w:rsid w:val="50FC76F2"/>
    <w:rsid w:val="514F6E02"/>
    <w:rsid w:val="529B520F"/>
    <w:rsid w:val="544348D0"/>
    <w:rsid w:val="55871CAB"/>
    <w:rsid w:val="563D7DC5"/>
    <w:rsid w:val="564B558E"/>
    <w:rsid w:val="5A132000"/>
    <w:rsid w:val="5E407D3F"/>
    <w:rsid w:val="5F675090"/>
    <w:rsid w:val="62D92A3D"/>
    <w:rsid w:val="67654359"/>
    <w:rsid w:val="691138A5"/>
    <w:rsid w:val="6BEC0FCA"/>
    <w:rsid w:val="6DF02B61"/>
    <w:rsid w:val="70EC274A"/>
    <w:rsid w:val="71647240"/>
    <w:rsid w:val="76D943F5"/>
    <w:rsid w:val="782C4FCD"/>
    <w:rsid w:val="79C6148C"/>
    <w:rsid w:val="7B6036AF"/>
    <w:rsid w:val="7B7456D9"/>
    <w:rsid w:val="7CC42F6D"/>
    <w:rsid w:val="7D423789"/>
    <w:rsid w:val="7DF9537C"/>
    <w:rsid w:val="9EF7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4"/>
    <w:autoRedefine/>
    <w:qFormat/>
    <w:uiPriority w:val="9"/>
    <w:pPr>
      <w:keepNext/>
      <w:keepLines/>
      <w:outlineLvl w:val="0"/>
    </w:pPr>
    <w:rPr>
      <w:b/>
      <w:bCs/>
      <w:kern w:val="44"/>
      <w:sz w:val="28"/>
      <w:szCs w:val="44"/>
    </w:rPr>
  </w:style>
  <w:style w:type="paragraph" w:styleId="3">
    <w:name w:val="heading 2"/>
    <w:basedOn w:val="1"/>
    <w:next w:val="1"/>
    <w:link w:val="19"/>
    <w:autoRedefine/>
    <w:unhideWhenUsed/>
    <w:qFormat/>
    <w:uiPriority w:val="9"/>
    <w:pPr>
      <w:keepNext/>
      <w:keepLines/>
      <w:widowControl/>
      <w:adjustRightInd w:val="0"/>
      <w:snapToGrid w:val="0"/>
      <w:jc w:val="left"/>
      <w:outlineLvl w:val="1"/>
    </w:pPr>
    <w:rPr>
      <w:rFonts w:asciiTheme="majorHAnsi" w:hAnsiTheme="majorHAnsi" w:eastAsiaTheme="majorEastAsia" w:cstheme="majorBidi"/>
      <w:b/>
      <w:bCs/>
      <w:kern w:val="0"/>
      <w:sz w:val="28"/>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style>
  <w:style w:type="paragraph" w:styleId="5">
    <w:name w:val="Body Text"/>
    <w:basedOn w:val="1"/>
    <w:autoRedefine/>
    <w:qFormat/>
    <w:uiPriority w:val="1"/>
    <w:rPr>
      <w:rFonts w:ascii="DengXian" w:hAnsi="DengXian" w:eastAsia="DengXian" w:cs="DengXian"/>
      <w:sz w:val="22"/>
      <w:lang w:val="zh-CN" w:bidi="zh-CN"/>
    </w:rPr>
  </w:style>
  <w:style w:type="paragraph" w:styleId="6">
    <w:name w:val="Balloon Text"/>
    <w:basedOn w:val="1"/>
    <w:link w:val="21"/>
    <w:autoRedefine/>
    <w:semiHidden/>
    <w:unhideWhenUsed/>
    <w:qFormat/>
    <w:uiPriority w:val="99"/>
    <w:rPr>
      <w:rFonts w:cs="Times New Roman"/>
      <w:sz w:val="18"/>
      <w:szCs w:val="18"/>
    </w:rPr>
  </w:style>
  <w:style w:type="paragraph" w:styleId="7">
    <w:name w:val="footer"/>
    <w:basedOn w:val="1"/>
    <w:link w:val="17"/>
    <w:autoRedefine/>
    <w:unhideWhenUsed/>
    <w:qFormat/>
    <w:uiPriority w:val="99"/>
    <w:pPr>
      <w:tabs>
        <w:tab w:val="center" w:pos="4680"/>
        <w:tab w:val="right" w:pos="9360"/>
      </w:tabs>
    </w:pPr>
  </w:style>
  <w:style w:type="paragraph" w:styleId="8">
    <w:name w:val="header"/>
    <w:basedOn w:val="1"/>
    <w:link w:val="16"/>
    <w:autoRedefine/>
    <w:unhideWhenUsed/>
    <w:qFormat/>
    <w:uiPriority w:val="0"/>
    <w:pPr>
      <w:tabs>
        <w:tab w:val="center" w:pos="4680"/>
        <w:tab w:val="right" w:pos="9360"/>
      </w:tabs>
    </w:pPr>
  </w:style>
  <w:style w:type="paragraph" w:styleId="9">
    <w:name w:val="Normal (Web)"/>
    <w:basedOn w:val="1"/>
    <w:autoRedefine/>
    <w:unhideWhenUsed/>
    <w:qFormat/>
    <w:uiPriority w:val="99"/>
    <w:pPr>
      <w:spacing w:beforeAutospacing="1" w:afterAutospacing="1"/>
      <w:jc w:val="left"/>
    </w:pPr>
    <w:rPr>
      <w:rFonts w:cs="Times New Roman"/>
      <w:kern w:val="0"/>
    </w:rPr>
  </w:style>
  <w:style w:type="paragraph" w:styleId="10">
    <w:name w:val="Title"/>
    <w:basedOn w:val="1"/>
    <w:next w:val="1"/>
    <w:link w:val="25"/>
    <w:autoRedefine/>
    <w:qFormat/>
    <w:uiPriority w:val="10"/>
    <w:pPr>
      <w:jc w:val="center"/>
      <w:outlineLvl w:val="0"/>
    </w:pPr>
    <w:rPr>
      <w:rFonts w:asciiTheme="majorHAnsi" w:hAnsiTheme="majorHAnsi" w:eastAsiaTheme="majorEastAsia" w:cstheme="majorBidi"/>
      <w:b/>
      <w:bCs/>
      <w:sz w:val="36"/>
      <w:szCs w:val="32"/>
    </w:rPr>
  </w:style>
  <w:style w:type="paragraph" w:styleId="11">
    <w:name w:val="annotation subject"/>
    <w:basedOn w:val="4"/>
    <w:next w:val="4"/>
    <w:link w:val="23"/>
    <w:autoRedefine/>
    <w:semiHidden/>
    <w:unhideWhenUsed/>
    <w:qFormat/>
    <w:uiPriority w:val="99"/>
    <w:rPr>
      <w:b/>
      <w:bCs/>
    </w:rPr>
  </w:style>
  <w:style w:type="table" w:styleId="13">
    <w:name w:val="Table Grid"/>
    <w:basedOn w:val="12"/>
    <w:autoRedefine/>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autoRedefine/>
    <w:semiHidden/>
    <w:unhideWhenUsed/>
    <w:qFormat/>
    <w:uiPriority w:val="99"/>
    <w:rPr>
      <w:sz w:val="21"/>
      <w:szCs w:val="21"/>
    </w:rPr>
  </w:style>
  <w:style w:type="character" w:customStyle="1" w:styleId="16">
    <w:name w:val="页眉 Char"/>
    <w:basedOn w:val="14"/>
    <w:link w:val="8"/>
    <w:autoRedefine/>
    <w:qFormat/>
    <w:uiPriority w:val="99"/>
  </w:style>
  <w:style w:type="character" w:customStyle="1" w:styleId="17">
    <w:name w:val="页脚 Char"/>
    <w:basedOn w:val="14"/>
    <w:link w:val="7"/>
    <w:autoRedefine/>
    <w:qFormat/>
    <w:uiPriority w:val="99"/>
  </w:style>
  <w:style w:type="paragraph" w:styleId="18">
    <w:name w:val="List Paragraph"/>
    <w:basedOn w:val="1"/>
    <w:autoRedefine/>
    <w:qFormat/>
    <w:uiPriority w:val="34"/>
    <w:pPr>
      <w:spacing w:after="160" w:line="259" w:lineRule="auto"/>
      <w:ind w:left="720"/>
      <w:contextualSpacing/>
    </w:pPr>
    <w:rPr>
      <w:sz w:val="22"/>
    </w:rPr>
  </w:style>
  <w:style w:type="character" w:customStyle="1" w:styleId="19">
    <w:name w:val="标题 2 Char"/>
    <w:basedOn w:val="14"/>
    <w:link w:val="3"/>
    <w:autoRedefine/>
    <w:qFormat/>
    <w:uiPriority w:val="9"/>
    <w:rPr>
      <w:rFonts w:asciiTheme="majorHAnsi" w:hAnsiTheme="majorHAnsi" w:eastAsiaTheme="majorEastAsia" w:cstheme="majorBidi"/>
      <w:b/>
      <w:bCs/>
      <w:sz w:val="28"/>
      <w:szCs w:val="32"/>
    </w:rPr>
  </w:style>
  <w:style w:type="paragraph" w:customStyle="1" w:styleId="20">
    <w:name w:val="Table Paragraph"/>
    <w:basedOn w:val="1"/>
    <w:autoRedefine/>
    <w:qFormat/>
    <w:uiPriority w:val="1"/>
    <w:pPr>
      <w:spacing w:line="253" w:lineRule="exact"/>
      <w:ind w:left="495" w:right="483"/>
      <w:jc w:val="center"/>
    </w:pPr>
    <w:rPr>
      <w:rFonts w:ascii="DengXian" w:hAnsi="DengXian" w:eastAsia="DengXian" w:cs="DengXian"/>
      <w:lang w:val="zh-CN" w:bidi="zh-CN"/>
    </w:rPr>
  </w:style>
  <w:style w:type="character" w:customStyle="1" w:styleId="21">
    <w:name w:val="批注框文本 Char"/>
    <w:basedOn w:val="14"/>
    <w:link w:val="6"/>
    <w:autoRedefine/>
    <w:semiHidden/>
    <w:qFormat/>
    <w:uiPriority w:val="99"/>
    <w:rPr>
      <w:rFonts w:eastAsiaTheme="minorEastAsia"/>
      <w:kern w:val="2"/>
      <w:sz w:val="18"/>
      <w:szCs w:val="18"/>
    </w:rPr>
  </w:style>
  <w:style w:type="character" w:customStyle="1" w:styleId="22">
    <w:name w:val="批注文字 Char"/>
    <w:basedOn w:val="14"/>
    <w:link w:val="4"/>
    <w:autoRedefine/>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1"/>
    <w:autoRedefine/>
    <w:semiHidden/>
    <w:qFormat/>
    <w:uiPriority w:val="99"/>
    <w:rPr>
      <w:rFonts w:asciiTheme="minorHAnsi" w:hAnsiTheme="minorHAnsi" w:eastAsiaTheme="minorEastAsia" w:cstheme="minorBidi"/>
      <w:b/>
      <w:bCs/>
      <w:kern w:val="2"/>
      <w:sz w:val="21"/>
      <w:szCs w:val="22"/>
    </w:rPr>
  </w:style>
  <w:style w:type="character" w:customStyle="1" w:styleId="24">
    <w:name w:val="标题 1 Char"/>
    <w:basedOn w:val="14"/>
    <w:link w:val="2"/>
    <w:autoRedefine/>
    <w:qFormat/>
    <w:uiPriority w:val="9"/>
    <w:rPr>
      <w:rFonts w:asciiTheme="minorHAnsi" w:hAnsiTheme="minorHAnsi" w:eastAsiaTheme="minorEastAsia" w:cstheme="minorBidi"/>
      <w:b/>
      <w:bCs/>
      <w:kern w:val="44"/>
      <w:sz w:val="28"/>
      <w:szCs w:val="44"/>
    </w:rPr>
  </w:style>
  <w:style w:type="character" w:customStyle="1" w:styleId="25">
    <w:name w:val="标题 Char"/>
    <w:basedOn w:val="14"/>
    <w:link w:val="10"/>
    <w:autoRedefine/>
    <w:qFormat/>
    <w:uiPriority w:val="10"/>
    <w:rPr>
      <w:rFonts w:asciiTheme="majorHAnsi" w:hAnsiTheme="majorHAnsi" w:eastAsiaTheme="majorEastAsia" w:cstheme="majorBidi"/>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426</Words>
  <Characters>2434</Characters>
  <Lines>20</Lines>
  <Paragraphs>5</Paragraphs>
  <TotalTime>17</TotalTime>
  <ScaleCrop>false</ScaleCrop>
  <LinksUpToDate>false</LinksUpToDate>
  <CharactersWithSpaces>2855</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2024-03-12T16:45:00Z</dcterms:created>
  <dc:creator>JJ Wu</dc:creator>
  <cp:lastModifiedBy>梁凯封</cp:lastModifiedBy>
  <cp:lastPrinted>2024-03-12T16:45:00Z</cp:lastPrinted>
  <dcterms:modified xsi:type="dcterms:W3CDTF">2024-04-18T13:10:50Z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EFB49F0F022148E1A892D5635E63A2A6_13</vt:lpwstr>
  </property>
</Properties>
</file>